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D88" w14:textId="25DC9E0D" w:rsidR="00051391" w:rsidRPr="00051391" w:rsidRDefault="00ED3934" w:rsidP="00051391">
      <w:pPr>
        <w:ind w:left="1440" w:hanging="1440"/>
        <w:jc w:val="center"/>
        <w:rPr>
          <w:rFonts w:ascii="Times New Roman" w:hAnsi="Times New Roman"/>
          <w:sz w:val="22"/>
          <w:szCs w:val="22"/>
        </w:rPr>
      </w:pPr>
      <w:proofErr w:type="gramStart"/>
      <w:r>
        <w:rPr>
          <w:rFonts w:ascii="Times New Roman" w:hAnsi="Times New Roman"/>
          <w:sz w:val="22"/>
          <w:szCs w:val="22"/>
        </w:rPr>
        <w:t>October</w:t>
      </w:r>
      <w:r w:rsidR="00C87E07">
        <w:rPr>
          <w:rFonts w:ascii="Times New Roman" w:hAnsi="Times New Roman"/>
          <w:sz w:val="22"/>
          <w:szCs w:val="22"/>
        </w:rPr>
        <w:t xml:space="preserve"> </w:t>
      </w:r>
      <w:r w:rsidR="00A8535E">
        <w:rPr>
          <w:rFonts w:ascii="Times New Roman" w:hAnsi="Times New Roman"/>
          <w:sz w:val="22"/>
          <w:szCs w:val="22"/>
        </w:rPr>
        <w:t xml:space="preserve"> </w:t>
      </w:r>
      <w:r w:rsidR="00C87E07">
        <w:rPr>
          <w:rFonts w:ascii="Times New Roman" w:hAnsi="Times New Roman"/>
          <w:sz w:val="22"/>
          <w:szCs w:val="22"/>
        </w:rPr>
        <w:t>_</w:t>
      </w:r>
      <w:proofErr w:type="gramEnd"/>
      <w:r w:rsidR="00C87E07">
        <w:rPr>
          <w:rFonts w:ascii="Times New Roman" w:hAnsi="Times New Roman"/>
          <w:sz w:val="22"/>
          <w:szCs w:val="22"/>
        </w:rPr>
        <w:t>_</w:t>
      </w:r>
      <w:r w:rsidR="00051391" w:rsidRPr="00051391">
        <w:rPr>
          <w:rFonts w:ascii="Times New Roman" w:hAnsi="Times New Roman"/>
          <w:sz w:val="22"/>
          <w:szCs w:val="22"/>
        </w:rPr>
        <w:t>, 202</w:t>
      </w:r>
      <w:r w:rsidR="00241C0F">
        <w:rPr>
          <w:rFonts w:ascii="Times New Roman" w:hAnsi="Times New Roman"/>
          <w:sz w:val="22"/>
          <w:szCs w:val="22"/>
        </w:rPr>
        <w:t>1</w:t>
      </w:r>
    </w:p>
    <w:p w14:paraId="43CEA534" w14:textId="77777777" w:rsidR="00051391" w:rsidRPr="00051391" w:rsidRDefault="00051391" w:rsidP="00051391">
      <w:pPr>
        <w:ind w:left="1440" w:hanging="1440"/>
        <w:jc w:val="center"/>
        <w:rPr>
          <w:rFonts w:ascii="Times New Roman" w:hAnsi="Times New Roman"/>
          <w:b/>
          <w:bCs/>
          <w:sz w:val="22"/>
          <w:szCs w:val="22"/>
        </w:rPr>
      </w:pPr>
    </w:p>
    <w:p w14:paraId="75F5FE11" w14:textId="63952029" w:rsidR="00EE4599" w:rsidRPr="00051391" w:rsidRDefault="00EE4599" w:rsidP="00EE4599">
      <w:pPr>
        <w:ind w:left="1440" w:hanging="1440"/>
        <w:contextualSpacing/>
        <w:rPr>
          <w:rFonts w:ascii="Times New Roman" w:hAnsi="Times New Roman"/>
          <w:sz w:val="22"/>
          <w:szCs w:val="22"/>
        </w:rPr>
      </w:pPr>
      <w:r w:rsidRPr="00051391">
        <w:rPr>
          <w:rFonts w:ascii="Times New Roman" w:hAnsi="Times New Roman"/>
          <w:b/>
          <w:bCs/>
          <w:sz w:val="22"/>
          <w:szCs w:val="22"/>
        </w:rPr>
        <w:t>RE:</w:t>
      </w:r>
      <w:r w:rsidR="00502711">
        <w:rPr>
          <w:rFonts w:ascii="Times New Roman" w:hAnsi="Times New Roman"/>
          <w:sz w:val="22"/>
          <w:szCs w:val="22"/>
        </w:rPr>
        <w:tab/>
      </w:r>
      <w:r w:rsidR="00497C95">
        <w:rPr>
          <w:rFonts w:ascii="Times New Roman" w:hAnsi="Times New Roman"/>
          <w:sz w:val="24"/>
        </w:rPr>
        <w:t xml:space="preserve">Resolution of the </w:t>
      </w:r>
      <w:r w:rsidR="00502711">
        <w:rPr>
          <w:rFonts w:ascii="Times New Roman" w:hAnsi="Times New Roman"/>
          <w:sz w:val="24"/>
        </w:rPr>
        <w:t>C</w:t>
      </w:r>
      <w:r w:rsidR="00497C95">
        <w:rPr>
          <w:rFonts w:ascii="Times New Roman" w:hAnsi="Times New Roman"/>
          <w:sz w:val="24"/>
        </w:rPr>
        <w:t xml:space="preserve">laims of </w:t>
      </w:r>
      <w:r w:rsidR="00502711">
        <w:rPr>
          <w:rFonts w:ascii="Times New Roman" w:hAnsi="Times New Roman"/>
          <w:sz w:val="24"/>
        </w:rPr>
        <w:t>S</w:t>
      </w:r>
      <w:r w:rsidR="00497C95">
        <w:rPr>
          <w:rFonts w:ascii="Times New Roman" w:hAnsi="Times New Roman"/>
          <w:sz w:val="24"/>
        </w:rPr>
        <w:t xml:space="preserve">ubrogated </w:t>
      </w:r>
      <w:r w:rsidR="00502711">
        <w:rPr>
          <w:rFonts w:ascii="Times New Roman" w:hAnsi="Times New Roman"/>
          <w:sz w:val="24"/>
        </w:rPr>
        <w:t>P</w:t>
      </w:r>
      <w:r w:rsidR="00497C95">
        <w:rPr>
          <w:rFonts w:ascii="Times New Roman" w:hAnsi="Times New Roman"/>
          <w:sz w:val="24"/>
        </w:rPr>
        <w:t xml:space="preserve">ayors in </w:t>
      </w:r>
      <w:r w:rsidR="00502711">
        <w:rPr>
          <w:rFonts w:ascii="Times New Roman" w:hAnsi="Times New Roman"/>
          <w:sz w:val="24"/>
        </w:rPr>
        <w:t>C</w:t>
      </w:r>
      <w:r w:rsidR="00497C95">
        <w:rPr>
          <w:rFonts w:ascii="Times New Roman" w:hAnsi="Times New Roman"/>
          <w:sz w:val="24"/>
        </w:rPr>
        <w:t xml:space="preserve">onnection with </w:t>
      </w:r>
      <w:r w:rsidR="00502711">
        <w:rPr>
          <w:rFonts w:ascii="Times New Roman" w:hAnsi="Times New Roman"/>
          <w:sz w:val="24"/>
        </w:rPr>
        <w:t>L</w:t>
      </w:r>
      <w:r w:rsidR="00497C95">
        <w:rPr>
          <w:rFonts w:ascii="Times New Roman" w:hAnsi="Times New Roman"/>
          <w:sz w:val="24"/>
        </w:rPr>
        <w:t xml:space="preserve">ump </w:t>
      </w:r>
      <w:r w:rsidR="00502711">
        <w:rPr>
          <w:rFonts w:ascii="Times New Roman" w:hAnsi="Times New Roman"/>
          <w:sz w:val="24"/>
        </w:rPr>
        <w:t>S</w:t>
      </w:r>
      <w:r w:rsidR="00497C95">
        <w:rPr>
          <w:rFonts w:ascii="Times New Roman" w:hAnsi="Times New Roman"/>
          <w:sz w:val="24"/>
        </w:rPr>
        <w:t xml:space="preserve">um </w:t>
      </w:r>
      <w:r w:rsidR="008E4742">
        <w:rPr>
          <w:rFonts w:ascii="Times New Roman" w:hAnsi="Times New Roman"/>
          <w:sz w:val="24"/>
        </w:rPr>
        <w:t>S</w:t>
      </w:r>
      <w:r w:rsidR="00497C95">
        <w:rPr>
          <w:rFonts w:ascii="Times New Roman" w:hAnsi="Times New Roman"/>
          <w:sz w:val="24"/>
        </w:rPr>
        <w:t>ettlements</w:t>
      </w:r>
    </w:p>
    <w:p w14:paraId="75F5FE12" w14:textId="77777777" w:rsidR="00EE4599" w:rsidRPr="00051391" w:rsidRDefault="00EE4599" w:rsidP="00EE4599">
      <w:pPr>
        <w:contextualSpacing/>
        <w:rPr>
          <w:sz w:val="22"/>
          <w:szCs w:val="22"/>
        </w:rPr>
      </w:pPr>
    </w:p>
    <w:p w14:paraId="51FAB2FA" w14:textId="77777777" w:rsidR="00504B75" w:rsidRDefault="00504B75" w:rsidP="00502711">
      <w:pPr>
        <w:pStyle w:val="BodyText"/>
        <w:pBdr>
          <w:top w:val="single" w:sz="4" w:space="1" w:color="auto"/>
        </w:pBdr>
        <w:contextualSpacing/>
        <w:rPr>
          <w:rFonts w:ascii="Times New Roman" w:hAnsi="Times New Roman"/>
          <w:sz w:val="22"/>
          <w:szCs w:val="22"/>
        </w:rPr>
      </w:pPr>
    </w:p>
    <w:p w14:paraId="0787E90A" w14:textId="41264497" w:rsidR="00502711" w:rsidRPr="00502711" w:rsidRDefault="00502711" w:rsidP="00502711">
      <w:pPr>
        <w:pStyle w:val="BodyText"/>
        <w:pBdr>
          <w:top w:val="single" w:sz="4" w:space="1" w:color="auto"/>
        </w:pBdr>
        <w:contextualSpacing/>
        <w:rPr>
          <w:rFonts w:ascii="Times New Roman" w:hAnsi="Times New Roman"/>
          <w:sz w:val="22"/>
          <w:szCs w:val="22"/>
        </w:rPr>
      </w:pPr>
      <w:r w:rsidRPr="00502711">
        <w:rPr>
          <w:rFonts w:ascii="Times New Roman" w:hAnsi="Times New Roman"/>
          <w:sz w:val="22"/>
          <w:szCs w:val="22"/>
        </w:rPr>
        <w:t xml:space="preserve">This guidance is provided to parties to proposed Lump Sum Settlements submitted to the Commission for approval pursuant to I.C. </w:t>
      </w:r>
      <w:proofErr w:type="gramStart"/>
      <w:r w:rsidR="00B32373" w:rsidRPr="00502711">
        <w:rPr>
          <w:rFonts w:ascii="Times New Roman" w:hAnsi="Times New Roman"/>
          <w:sz w:val="22"/>
          <w:szCs w:val="22"/>
        </w:rPr>
        <w:t>72-404</w:t>
      </w:r>
      <w:r w:rsidR="00B32373">
        <w:rPr>
          <w:rFonts w:ascii="Times New Roman" w:hAnsi="Times New Roman"/>
          <w:sz w:val="22"/>
          <w:szCs w:val="22"/>
        </w:rPr>
        <w:t>, and</w:t>
      </w:r>
      <w:proofErr w:type="gramEnd"/>
      <w:r w:rsidRPr="00502711">
        <w:rPr>
          <w:rFonts w:ascii="Times New Roman" w:hAnsi="Times New Roman"/>
          <w:sz w:val="22"/>
          <w:szCs w:val="22"/>
        </w:rPr>
        <w:t xml:space="preserve"> addresses the Commission’s expectations regarding the resolution of the claims of </w:t>
      </w:r>
      <w:proofErr w:type="spellStart"/>
      <w:r w:rsidRPr="00502711">
        <w:rPr>
          <w:rFonts w:ascii="Times New Roman" w:hAnsi="Times New Roman"/>
          <w:sz w:val="22"/>
          <w:szCs w:val="22"/>
        </w:rPr>
        <w:t>subrogees</w:t>
      </w:r>
      <w:proofErr w:type="spellEnd"/>
      <w:r w:rsidRPr="00502711">
        <w:rPr>
          <w:rFonts w:ascii="Times New Roman" w:hAnsi="Times New Roman"/>
          <w:sz w:val="22"/>
          <w:szCs w:val="22"/>
        </w:rPr>
        <w:t xml:space="preserve"> who have paid some portion of medical expenses which are claimed to be necessitated by a covered injury, but which, for one reason or another, have been denied by surety.  </w:t>
      </w:r>
      <w:r w:rsidRPr="00504B75">
        <w:rPr>
          <w:rFonts w:ascii="Times New Roman" w:hAnsi="Times New Roman"/>
          <w:i/>
          <w:iCs/>
          <w:sz w:val="22"/>
          <w:szCs w:val="22"/>
        </w:rPr>
        <w:t>Williams v. Blue Cross</w:t>
      </w:r>
      <w:r w:rsidRPr="00502711">
        <w:rPr>
          <w:rFonts w:ascii="Times New Roman" w:hAnsi="Times New Roman"/>
          <w:sz w:val="22"/>
          <w:szCs w:val="22"/>
        </w:rPr>
        <w:t xml:space="preserve">, 151 Idaho 515 (2011), treats the Commissions obligations in this regard, and this guidance is based on that decision.  There are many scenarios in which this issue arises, but the following example is typical: </w:t>
      </w:r>
    </w:p>
    <w:p w14:paraId="0403C724" w14:textId="77777777" w:rsidR="00502711" w:rsidRPr="00502711" w:rsidRDefault="00502711" w:rsidP="00502711">
      <w:pPr>
        <w:pStyle w:val="BodyText"/>
        <w:pBdr>
          <w:top w:val="single" w:sz="4" w:space="1" w:color="auto"/>
        </w:pBdr>
        <w:contextualSpacing/>
        <w:rPr>
          <w:rFonts w:ascii="Times New Roman" w:hAnsi="Times New Roman"/>
          <w:sz w:val="22"/>
          <w:szCs w:val="22"/>
        </w:rPr>
      </w:pPr>
    </w:p>
    <w:p w14:paraId="1FFB6923" w14:textId="67E300B9" w:rsidR="00502711" w:rsidRDefault="00502711" w:rsidP="00A26962">
      <w:pPr>
        <w:pStyle w:val="BodyText"/>
        <w:ind w:left="720" w:right="810"/>
        <w:contextualSpacing/>
        <w:rPr>
          <w:rFonts w:ascii="Times New Roman" w:hAnsi="Times New Roman"/>
          <w:sz w:val="22"/>
          <w:szCs w:val="22"/>
        </w:rPr>
      </w:pPr>
      <w:r w:rsidRPr="00502711">
        <w:rPr>
          <w:rFonts w:ascii="Times New Roman" w:hAnsi="Times New Roman"/>
          <w:sz w:val="22"/>
          <w:szCs w:val="22"/>
        </w:rPr>
        <w:t>Claimant suffers an accident related to strenuous pulling on an overhead device in connection with an emergency at work.  She suffers a shoulder injury which is accepted by Surety. She receives medical treatment for this injury and is paid benefits as required by statute. Some months after the original injury, Claimant presents with new complaints of cervical spine discomfort. She is worked up for this problem and is found to have multi-level degenerative disc disease, including a C5-</w:t>
      </w:r>
      <w:proofErr w:type="gramStart"/>
      <w:r w:rsidRPr="00502711">
        <w:rPr>
          <w:rFonts w:ascii="Times New Roman" w:hAnsi="Times New Roman"/>
          <w:sz w:val="22"/>
          <w:szCs w:val="22"/>
        </w:rPr>
        <w:t>6 disc</w:t>
      </w:r>
      <w:proofErr w:type="gramEnd"/>
      <w:r w:rsidRPr="00502711">
        <w:rPr>
          <w:rFonts w:ascii="Times New Roman" w:hAnsi="Times New Roman"/>
          <w:sz w:val="22"/>
          <w:szCs w:val="22"/>
        </w:rPr>
        <w:t xml:space="preserve"> herniation of indeterminate age.  The physician who treated Claimant for her cervical spine condition cannot say whether, or to what extent, </w:t>
      </w:r>
      <w:r w:rsidR="00716097">
        <w:rPr>
          <w:rFonts w:ascii="Times New Roman" w:hAnsi="Times New Roman"/>
          <w:sz w:val="22"/>
          <w:szCs w:val="22"/>
        </w:rPr>
        <w:t>C</w:t>
      </w:r>
      <w:r w:rsidRPr="00502711">
        <w:rPr>
          <w:rFonts w:ascii="Times New Roman" w:hAnsi="Times New Roman"/>
          <w:sz w:val="22"/>
          <w:szCs w:val="22"/>
        </w:rPr>
        <w:t xml:space="preserve">laimant’s cervical spine condition is related to the work accident.  </w:t>
      </w:r>
      <w:r w:rsidR="00B32373" w:rsidRPr="00502711">
        <w:rPr>
          <w:rFonts w:ascii="Times New Roman" w:hAnsi="Times New Roman"/>
          <w:sz w:val="22"/>
          <w:szCs w:val="22"/>
        </w:rPr>
        <w:t>Defen</w:t>
      </w:r>
      <w:r w:rsidR="00B32373">
        <w:rPr>
          <w:rFonts w:ascii="Times New Roman" w:hAnsi="Times New Roman"/>
          <w:sz w:val="22"/>
          <w:szCs w:val="22"/>
        </w:rPr>
        <w:t>dants retain</w:t>
      </w:r>
      <w:r w:rsidRPr="00502711">
        <w:rPr>
          <w:rFonts w:ascii="Times New Roman" w:hAnsi="Times New Roman"/>
          <w:sz w:val="22"/>
          <w:szCs w:val="22"/>
        </w:rPr>
        <w:t xml:space="preserve"> a medical expert who opines that the cervical spine condition is altogether unrelated to the original work accident. Claimant retains another medical expert who opines that the cervical spine condition was permanently aggravated by the work accident, and that </w:t>
      </w:r>
      <w:r w:rsidR="00F87922">
        <w:rPr>
          <w:rFonts w:ascii="Times New Roman" w:hAnsi="Times New Roman"/>
          <w:sz w:val="22"/>
          <w:szCs w:val="22"/>
        </w:rPr>
        <w:t>C</w:t>
      </w:r>
      <w:r w:rsidRPr="00502711">
        <w:rPr>
          <w:rFonts w:ascii="Times New Roman" w:hAnsi="Times New Roman"/>
          <w:sz w:val="22"/>
          <w:szCs w:val="22"/>
        </w:rPr>
        <w:t xml:space="preserve">laimant’s need for surgical care is a direct result of the subject accident.  Surety denies responsibility for Claimant’s cervical spine surgery. Nevertheless, </w:t>
      </w:r>
      <w:r w:rsidR="00F87922">
        <w:rPr>
          <w:rFonts w:ascii="Times New Roman" w:hAnsi="Times New Roman"/>
          <w:sz w:val="22"/>
          <w:szCs w:val="22"/>
        </w:rPr>
        <w:t>C</w:t>
      </w:r>
      <w:r w:rsidRPr="00502711">
        <w:rPr>
          <w:rFonts w:ascii="Times New Roman" w:hAnsi="Times New Roman"/>
          <w:sz w:val="22"/>
          <w:szCs w:val="22"/>
        </w:rPr>
        <w:t xml:space="preserve">laimant has the recommended surgery, the cost of which is paid by </w:t>
      </w:r>
      <w:r w:rsidR="00F87922">
        <w:rPr>
          <w:rFonts w:ascii="Times New Roman" w:hAnsi="Times New Roman"/>
          <w:sz w:val="22"/>
          <w:szCs w:val="22"/>
        </w:rPr>
        <w:t>C</w:t>
      </w:r>
      <w:r w:rsidRPr="00502711">
        <w:rPr>
          <w:rFonts w:ascii="Times New Roman" w:hAnsi="Times New Roman"/>
          <w:sz w:val="22"/>
          <w:szCs w:val="22"/>
        </w:rPr>
        <w:t>laimant’s non-occupational group health carrier. The non-occupational group health policy creates in the carrier, a right of subrogation in the event it is determined that the expenses associated with the neck surgery should have been paid by the worker’s compensation carrier.  Had the case gone to hearing, the Commission would have been asked to decide whether the neck injuries were related to the subject accident.  A finding that the injuries were so related would result in an order requiring surety to pay to Claimant the invoiced amount of the bills she incurred, and from that sum the subrogated carrier would be reimbursed.  However, the case does not go to hearing. Instead, it is resolved by way of lump sum settlement (LSS). The LSS specifically resolves the issue of whether Claimant’s cervical spine injury, and related surgery, were causally related to the subject accident. It is presumed that part of the consideration paid in the proposed lump sum settlement is paid to resolve the issue of Claimant’s entitlement to recover the denied medical bills, even though the LSS does not attempt to allocate any portion of the settlement to the resolution of the claim for the denied medical bills.</w:t>
      </w:r>
    </w:p>
    <w:p w14:paraId="0AFD36A0" w14:textId="77777777" w:rsidR="00502711" w:rsidRPr="00502711" w:rsidRDefault="00502711" w:rsidP="00A26962">
      <w:pPr>
        <w:pStyle w:val="BodyText"/>
        <w:contextualSpacing/>
        <w:rPr>
          <w:rFonts w:ascii="Times New Roman" w:hAnsi="Times New Roman"/>
          <w:sz w:val="22"/>
          <w:szCs w:val="22"/>
        </w:rPr>
      </w:pPr>
    </w:p>
    <w:p w14:paraId="2F255E39" w14:textId="4D39064A" w:rsidR="00502711" w:rsidRDefault="00502711" w:rsidP="00A26962">
      <w:pPr>
        <w:pStyle w:val="BodyText"/>
        <w:contextualSpacing/>
        <w:rPr>
          <w:rFonts w:ascii="Times New Roman" w:hAnsi="Times New Roman"/>
          <w:sz w:val="22"/>
          <w:szCs w:val="22"/>
        </w:rPr>
      </w:pPr>
      <w:r w:rsidRPr="009778BE">
        <w:rPr>
          <w:rFonts w:ascii="Times New Roman" w:hAnsi="Times New Roman"/>
          <w:i/>
          <w:iCs/>
          <w:sz w:val="22"/>
          <w:szCs w:val="22"/>
        </w:rPr>
        <w:t>Williams</w:t>
      </w:r>
      <w:r w:rsidRPr="00502711">
        <w:rPr>
          <w:rFonts w:ascii="Times New Roman" w:hAnsi="Times New Roman"/>
          <w:sz w:val="22"/>
          <w:szCs w:val="22"/>
        </w:rPr>
        <w:t xml:space="preserve"> makes it clear that the Industrial Commission has jurisdiction to consider whether a medical insurer is a </w:t>
      </w:r>
      <w:proofErr w:type="spellStart"/>
      <w:r w:rsidRPr="00502711">
        <w:rPr>
          <w:rFonts w:ascii="Times New Roman" w:hAnsi="Times New Roman"/>
          <w:sz w:val="22"/>
          <w:szCs w:val="22"/>
        </w:rPr>
        <w:t>subrogee</w:t>
      </w:r>
      <w:proofErr w:type="spellEnd"/>
      <w:r w:rsidRPr="00502711">
        <w:rPr>
          <w:rFonts w:ascii="Times New Roman" w:hAnsi="Times New Roman"/>
          <w:sz w:val="22"/>
          <w:szCs w:val="22"/>
        </w:rPr>
        <w:t xml:space="preserve">, and if so, the extent of the </w:t>
      </w:r>
      <w:proofErr w:type="spellStart"/>
      <w:r w:rsidRPr="00502711">
        <w:rPr>
          <w:rFonts w:ascii="Times New Roman" w:hAnsi="Times New Roman"/>
          <w:sz w:val="22"/>
          <w:szCs w:val="22"/>
        </w:rPr>
        <w:t>subrogee’s</w:t>
      </w:r>
      <w:proofErr w:type="spellEnd"/>
      <w:r w:rsidRPr="00502711">
        <w:rPr>
          <w:rFonts w:ascii="Times New Roman" w:hAnsi="Times New Roman"/>
          <w:sz w:val="22"/>
          <w:szCs w:val="22"/>
        </w:rPr>
        <w:t xml:space="preserve"> entitlement to the proceeds of a lump sum settlement.  The grant of jurisdiction derives from I.C. 72-404, which requires the Commission to approve all lump sum settlements, and in so doing, be satisfied that the settlement is in the best interest of the parties.  As the Court stated:</w:t>
      </w:r>
    </w:p>
    <w:p w14:paraId="6D83C509" w14:textId="77777777" w:rsidR="006D15B1" w:rsidRPr="00502711" w:rsidRDefault="006D15B1" w:rsidP="00A26962">
      <w:pPr>
        <w:pStyle w:val="BodyText"/>
        <w:contextualSpacing/>
        <w:rPr>
          <w:rFonts w:ascii="Times New Roman" w:hAnsi="Times New Roman"/>
          <w:sz w:val="22"/>
          <w:szCs w:val="22"/>
        </w:rPr>
      </w:pPr>
    </w:p>
    <w:p w14:paraId="479C747B" w14:textId="66311A9B" w:rsidR="00502711" w:rsidRDefault="00502711" w:rsidP="00C43769">
      <w:pPr>
        <w:pStyle w:val="BodyText"/>
        <w:spacing w:after="0"/>
        <w:ind w:left="720" w:right="900"/>
        <w:rPr>
          <w:rFonts w:ascii="Times New Roman" w:hAnsi="Times New Roman"/>
          <w:sz w:val="22"/>
          <w:szCs w:val="22"/>
        </w:rPr>
      </w:pPr>
      <w:bookmarkStart w:id="0" w:name="_Hlk82614977"/>
      <w:r w:rsidRPr="00502711">
        <w:rPr>
          <w:rFonts w:ascii="Times New Roman" w:hAnsi="Times New Roman"/>
          <w:sz w:val="22"/>
          <w:szCs w:val="22"/>
        </w:rPr>
        <w:t xml:space="preserve">If an injured worker’s insurance company has provided compensation for medical expenses for which the worker is now seeking to obtain workers’ compensation benefits, it is in the best interest of the parties to ensure that the insurance company’s subrogation claim is resolved contemporaneously with </w:t>
      </w:r>
      <w:r w:rsidRPr="00502711">
        <w:rPr>
          <w:rFonts w:ascii="Times New Roman" w:hAnsi="Times New Roman"/>
          <w:sz w:val="22"/>
          <w:szCs w:val="22"/>
        </w:rPr>
        <w:lastRenderedPageBreak/>
        <w:t>the proposed settlement.  This would help ensure that the parties will not be subjected to further litigation after the settlement agreement is finalized.  Coupled with the jurisdiction grants in I.C. 72-707 and -803, section 72-404 requires the Commission to do so.</w:t>
      </w:r>
      <w:r w:rsidR="004A4F15">
        <w:rPr>
          <w:rFonts w:ascii="Times New Roman" w:hAnsi="Times New Roman"/>
          <w:sz w:val="22"/>
          <w:szCs w:val="22"/>
        </w:rPr>
        <w:t xml:space="preserve"> </w:t>
      </w:r>
      <w:r w:rsidR="00B14471" w:rsidRPr="00B14471">
        <w:rPr>
          <w:rFonts w:ascii="Times New Roman" w:hAnsi="Times New Roman"/>
          <w:i/>
          <w:iCs/>
          <w:sz w:val="22"/>
          <w:szCs w:val="22"/>
        </w:rPr>
        <w:t>Williams v. Blue Cross of Idaho</w:t>
      </w:r>
      <w:r w:rsidR="00B14471" w:rsidRPr="00B14471">
        <w:rPr>
          <w:rFonts w:ascii="Times New Roman" w:hAnsi="Times New Roman"/>
          <w:sz w:val="22"/>
          <w:szCs w:val="22"/>
        </w:rPr>
        <w:t>, 151 Idaho 515, 520, 260 P.3d 1186, 1191 (2011).</w:t>
      </w:r>
      <w:r w:rsidR="00B14471" w:rsidRPr="00B14471" w:rsidDel="00B14471">
        <w:rPr>
          <w:rFonts w:ascii="Times New Roman" w:hAnsi="Times New Roman"/>
          <w:sz w:val="22"/>
          <w:szCs w:val="22"/>
        </w:rPr>
        <w:t xml:space="preserve"> </w:t>
      </w:r>
    </w:p>
    <w:bookmarkEnd w:id="0"/>
    <w:p w14:paraId="582D649E" w14:textId="77777777" w:rsidR="00502711" w:rsidRPr="00502711" w:rsidRDefault="00502711" w:rsidP="00C43769">
      <w:pPr>
        <w:pStyle w:val="BodyText"/>
        <w:contextualSpacing/>
        <w:rPr>
          <w:rFonts w:ascii="Times New Roman" w:hAnsi="Times New Roman"/>
          <w:sz w:val="22"/>
          <w:szCs w:val="22"/>
        </w:rPr>
      </w:pPr>
    </w:p>
    <w:p w14:paraId="6079DFF5" w14:textId="7B7A381D"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Accordingly, in treating the issue of subrogation, the Commission is, in the first instance, actuated by a concern for the best interest of the claimant.   </w:t>
      </w:r>
      <w:r w:rsidR="00664A3D">
        <w:rPr>
          <w:rFonts w:ascii="Times New Roman" w:hAnsi="Times New Roman"/>
          <w:sz w:val="22"/>
          <w:szCs w:val="22"/>
        </w:rPr>
        <w:t>T</w:t>
      </w:r>
      <w:r w:rsidRPr="00502711">
        <w:rPr>
          <w:rFonts w:ascii="Times New Roman" w:hAnsi="Times New Roman"/>
          <w:sz w:val="22"/>
          <w:szCs w:val="22"/>
        </w:rPr>
        <w:t xml:space="preserve">he Commission recognizes that in looking out for claimant’s best interest, the interests of a subrogated carrier are incidentally served, even though that carrier is not currently a party to any proceeding before the Commission.  </w:t>
      </w:r>
    </w:p>
    <w:p w14:paraId="3E919CAF" w14:textId="77777777"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    </w:t>
      </w:r>
    </w:p>
    <w:p w14:paraId="7334C7E1" w14:textId="653EFB76"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The importance of resolving a subrogation issue at the time of the LSS is illustrated by what might happen if the matter is not taken up.  Suppose that the medical bills paid by the </w:t>
      </w:r>
      <w:proofErr w:type="spellStart"/>
      <w:r w:rsidRPr="00502711">
        <w:rPr>
          <w:rFonts w:ascii="Times New Roman" w:hAnsi="Times New Roman"/>
          <w:sz w:val="22"/>
          <w:szCs w:val="22"/>
        </w:rPr>
        <w:t>subrogee</w:t>
      </w:r>
      <w:proofErr w:type="spellEnd"/>
      <w:r w:rsidRPr="00502711">
        <w:rPr>
          <w:rFonts w:ascii="Times New Roman" w:hAnsi="Times New Roman"/>
          <w:sz w:val="22"/>
          <w:szCs w:val="22"/>
        </w:rPr>
        <w:t xml:space="preserve"> in the above hypothetical amount to $50,000.  If the workers’ compensation claim is settled for $100,000, claimant can expect to retain approximately $75,000 after the payment of attorney’s fees.  Claimant may not understand that her medical insurer has an interest in the settlement proceeds.  It will be an unpleasant surprise to have the subrogated carrier later come calling for the $50,000.   Per </w:t>
      </w:r>
      <w:r w:rsidRPr="006D4E39">
        <w:rPr>
          <w:rFonts w:ascii="Times New Roman" w:hAnsi="Times New Roman"/>
          <w:i/>
          <w:iCs/>
          <w:sz w:val="22"/>
          <w:szCs w:val="22"/>
        </w:rPr>
        <w:t>Williams</w:t>
      </w:r>
      <w:r w:rsidRPr="00502711">
        <w:rPr>
          <w:rFonts w:ascii="Times New Roman" w:hAnsi="Times New Roman"/>
          <w:sz w:val="22"/>
          <w:szCs w:val="22"/>
        </w:rPr>
        <w:t xml:space="preserve">, the Commission will have jurisdiction of the carrier’s claim for reimbursement, and the causation fight which everyone hoped to avoid by settling the case will be had anyway. Moreover, the eventual decision of the Commission is likely to be all or nothing; claimant will either prevail on her argument that the need for care was not related to the subject accident, or the subrogated carrier will prevail on its argument that the need for care was related to the subject accident.  It was not in the Claimant’s best interest for the Commission to have approved the LSS without first having required the parties to sort out the treatment of the right of subrogation.  It is the Commission’s experience that most subrogated carriers are willing to compromise the amount owed pursuant to the policy where the medical evidence cuts both ways on the question of whether the need for the care received </w:t>
      </w:r>
      <w:r w:rsidR="004A4F15">
        <w:rPr>
          <w:rFonts w:ascii="Times New Roman" w:hAnsi="Times New Roman"/>
          <w:sz w:val="22"/>
          <w:szCs w:val="22"/>
        </w:rPr>
        <w:t>is</w:t>
      </w:r>
      <w:r w:rsidRPr="00502711">
        <w:rPr>
          <w:rFonts w:ascii="Times New Roman" w:hAnsi="Times New Roman"/>
          <w:sz w:val="22"/>
          <w:szCs w:val="22"/>
        </w:rPr>
        <w:t xml:space="preserve"> related to the subject accident.  If the claimant and subrogated carrier cannot reach agreement, then the case may have to be tried.  To attempt resolution of a claim of subrogation before approval of a proposed LSS is in the best interest of claimant.   </w:t>
      </w:r>
    </w:p>
    <w:p w14:paraId="4ABAD6D2" w14:textId="59E0BE56" w:rsidR="00502711" w:rsidRPr="00502711" w:rsidRDefault="00502711" w:rsidP="00C43769">
      <w:pPr>
        <w:pStyle w:val="BodyText"/>
        <w:contextualSpacing/>
        <w:rPr>
          <w:rFonts w:ascii="Times New Roman" w:hAnsi="Times New Roman"/>
          <w:sz w:val="22"/>
          <w:szCs w:val="22"/>
        </w:rPr>
      </w:pPr>
    </w:p>
    <w:p w14:paraId="7CD00F73" w14:textId="75932FC1"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These are the Commission’s expectations regarding the treatment of subrogated payors: </w:t>
      </w:r>
      <w:r w:rsidR="001469C8">
        <w:rPr>
          <w:rFonts w:ascii="Times New Roman" w:hAnsi="Times New Roman"/>
          <w:sz w:val="22"/>
          <w:szCs w:val="22"/>
        </w:rPr>
        <w:t xml:space="preserve"> Claimant must</w:t>
      </w:r>
      <w:r w:rsidRPr="00502711">
        <w:rPr>
          <w:rFonts w:ascii="Times New Roman" w:hAnsi="Times New Roman"/>
          <w:sz w:val="22"/>
          <w:szCs w:val="22"/>
        </w:rPr>
        <w:t xml:space="preserve"> inform the subrogated carrier of the pending settlement, and the fact that the settlement resolves a claim for medical benefits that was denied by the workers’ compensation surety but accepted and paid by the subrogated carrier. </w:t>
      </w:r>
      <w:r w:rsidR="0055505A">
        <w:rPr>
          <w:rFonts w:ascii="Times New Roman" w:hAnsi="Times New Roman"/>
          <w:sz w:val="22"/>
          <w:szCs w:val="22"/>
        </w:rPr>
        <w:t xml:space="preserve"> Claimant must </w:t>
      </w:r>
      <w:r w:rsidR="00664A3D">
        <w:rPr>
          <w:rFonts w:ascii="Times New Roman" w:hAnsi="Times New Roman"/>
          <w:sz w:val="22"/>
          <w:szCs w:val="22"/>
        </w:rPr>
        <w:t>attempt to resolve</w:t>
      </w:r>
      <w:r w:rsidR="0055505A">
        <w:rPr>
          <w:rFonts w:ascii="Times New Roman" w:hAnsi="Times New Roman"/>
          <w:sz w:val="22"/>
          <w:szCs w:val="22"/>
        </w:rPr>
        <w:t xml:space="preserve"> the subrogation claim.</w:t>
      </w:r>
      <w:r w:rsidRPr="00502711">
        <w:rPr>
          <w:rFonts w:ascii="Times New Roman" w:hAnsi="Times New Roman"/>
          <w:sz w:val="22"/>
          <w:szCs w:val="22"/>
        </w:rPr>
        <w:t xml:space="preserve">  The subrogated carrier should not be misled, but the Commission does not expect claimant to </w:t>
      </w:r>
      <w:r w:rsidR="00904470">
        <w:rPr>
          <w:rFonts w:ascii="Times New Roman" w:hAnsi="Times New Roman"/>
          <w:sz w:val="22"/>
          <w:szCs w:val="22"/>
        </w:rPr>
        <w:t xml:space="preserve">volunteer specific records </w:t>
      </w:r>
      <w:r w:rsidR="002240A4">
        <w:rPr>
          <w:rFonts w:ascii="Times New Roman" w:hAnsi="Times New Roman"/>
          <w:sz w:val="22"/>
          <w:szCs w:val="22"/>
        </w:rPr>
        <w:t xml:space="preserve">in the </w:t>
      </w:r>
      <w:r w:rsidR="001802E7">
        <w:rPr>
          <w:rFonts w:ascii="Times New Roman" w:hAnsi="Times New Roman"/>
          <w:sz w:val="22"/>
          <w:szCs w:val="22"/>
        </w:rPr>
        <w:t>absence</w:t>
      </w:r>
      <w:r w:rsidR="002240A4">
        <w:rPr>
          <w:rFonts w:ascii="Times New Roman" w:hAnsi="Times New Roman"/>
          <w:sz w:val="22"/>
          <w:szCs w:val="22"/>
        </w:rPr>
        <w:t xml:space="preserve"> of </w:t>
      </w:r>
      <w:r w:rsidR="00904470">
        <w:rPr>
          <w:rFonts w:ascii="Times New Roman" w:hAnsi="Times New Roman"/>
          <w:sz w:val="22"/>
          <w:szCs w:val="22"/>
        </w:rPr>
        <w:t>a request</w:t>
      </w:r>
      <w:r w:rsidR="002240A4">
        <w:rPr>
          <w:rFonts w:ascii="Times New Roman" w:hAnsi="Times New Roman"/>
          <w:sz w:val="22"/>
          <w:szCs w:val="22"/>
        </w:rPr>
        <w:t xml:space="preserve"> for information</w:t>
      </w:r>
      <w:r w:rsidR="00904470">
        <w:rPr>
          <w:rFonts w:ascii="Times New Roman" w:hAnsi="Times New Roman"/>
          <w:sz w:val="22"/>
          <w:szCs w:val="22"/>
        </w:rPr>
        <w:t xml:space="preserve"> from the third party.  </w:t>
      </w:r>
      <w:r w:rsidRPr="00502711">
        <w:rPr>
          <w:rFonts w:ascii="Times New Roman" w:hAnsi="Times New Roman"/>
          <w:sz w:val="22"/>
          <w:szCs w:val="22"/>
        </w:rPr>
        <w:t xml:space="preserve"> </w:t>
      </w:r>
    </w:p>
    <w:p w14:paraId="54EDB4D3" w14:textId="77777777" w:rsidR="00502711" w:rsidRPr="00502711" w:rsidRDefault="00502711" w:rsidP="00C43769">
      <w:pPr>
        <w:pStyle w:val="BodyText"/>
        <w:contextualSpacing/>
        <w:rPr>
          <w:rFonts w:ascii="Times New Roman" w:hAnsi="Times New Roman"/>
          <w:sz w:val="22"/>
          <w:szCs w:val="22"/>
        </w:rPr>
      </w:pPr>
    </w:p>
    <w:p w14:paraId="3E3EDAD8" w14:textId="7D01C4AA"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Anecdotally, the Commission understands that it is sometimes difficult to identify a point of contact with the subrogated carrier, obtain the applicable policy language or engage the subrogated carrier in discussion about the resolution of the claim of subrogation.  However, even in these cases, the Commission expects claimants to do their best to put the subrogated carrier on notice of the potential existence of a right of subrogation to the proceeds of the proposed LSS, as set forth </w:t>
      </w:r>
      <w:r w:rsidR="001469C8">
        <w:rPr>
          <w:rFonts w:ascii="Times New Roman" w:hAnsi="Times New Roman"/>
          <w:sz w:val="22"/>
          <w:szCs w:val="22"/>
        </w:rPr>
        <w:t>in the preceding paragraph</w:t>
      </w:r>
      <w:r w:rsidRPr="00502711">
        <w:rPr>
          <w:rFonts w:ascii="Times New Roman" w:hAnsi="Times New Roman"/>
          <w:sz w:val="22"/>
          <w:szCs w:val="22"/>
        </w:rPr>
        <w:t xml:space="preserve">.     </w:t>
      </w:r>
    </w:p>
    <w:p w14:paraId="0C5E624B" w14:textId="77777777" w:rsidR="00502711" w:rsidRPr="00502711" w:rsidRDefault="00502711" w:rsidP="00C43769">
      <w:pPr>
        <w:pStyle w:val="BodyText"/>
        <w:contextualSpacing/>
        <w:rPr>
          <w:rFonts w:ascii="Times New Roman" w:hAnsi="Times New Roman"/>
          <w:sz w:val="22"/>
          <w:szCs w:val="22"/>
        </w:rPr>
      </w:pPr>
    </w:p>
    <w:p w14:paraId="1BED9836" w14:textId="127C5E99"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The Commission does not expect claimant to wait forever for a response from the subrogated carrier</w:t>
      </w:r>
      <w:r w:rsidR="00FC2335">
        <w:rPr>
          <w:rFonts w:ascii="Times New Roman" w:hAnsi="Times New Roman"/>
          <w:sz w:val="22"/>
          <w:szCs w:val="22"/>
        </w:rPr>
        <w:t>;</w:t>
      </w:r>
      <w:r w:rsidRPr="00502711">
        <w:rPr>
          <w:rFonts w:ascii="Times New Roman" w:hAnsi="Times New Roman"/>
          <w:sz w:val="22"/>
          <w:szCs w:val="22"/>
        </w:rPr>
        <w:t xml:space="preserve"> </w:t>
      </w:r>
      <w:r w:rsidR="00FC2335">
        <w:rPr>
          <w:rFonts w:ascii="Times New Roman" w:hAnsi="Times New Roman"/>
          <w:sz w:val="22"/>
          <w:szCs w:val="22"/>
        </w:rPr>
        <w:t>t</w:t>
      </w:r>
      <w:r w:rsidRPr="00502711">
        <w:rPr>
          <w:rFonts w:ascii="Times New Roman" w:hAnsi="Times New Roman"/>
          <w:sz w:val="22"/>
          <w:szCs w:val="22"/>
        </w:rPr>
        <w:t>hirty</w:t>
      </w:r>
      <w:r w:rsidR="00EF2DA9">
        <w:rPr>
          <w:rFonts w:ascii="Times New Roman" w:hAnsi="Times New Roman"/>
          <w:sz w:val="22"/>
          <w:szCs w:val="22"/>
        </w:rPr>
        <w:t xml:space="preserve"> (30)</w:t>
      </w:r>
      <w:r w:rsidRPr="00502711">
        <w:rPr>
          <w:rFonts w:ascii="Times New Roman" w:hAnsi="Times New Roman"/>
          <w:sz w:val="22"/>
          <w:szCs w:val="22"/>
        </w:rPr>
        <w:t xml:space="preserve"> days seems adequate.  If, at the end of such period, the subrogated carrier has not responded, the Commission will consider claimant’s obligation to attempt resolution of the subrogation claim satisfied. </w:t>
      </w:r>
    </w:p>
    <w:p w14:paraId="04F5159B" w14:textId="77777777" w:rsidR="00502711" w:rsidRPr="00502711" w:rsidRDefault="00502711" w:rsidP="00C43769">
      <w:pPr>
        <w:pStyle w:val="BodyText"/>
        <w:contextualSpacing/>
        <w:rPr>
          <w:rFonts w:ascii="Times New Roman" w:hAnsi="Times New Roman"/>
          <w:sz w:val="22"/>
          <w:szCs w:val="22"/>
        </w:rPr>
      </w:pPr>
    </w:p>
    <w:p w14:paraId="494A8172" w14:textId="6A305E8A"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However, parties are cautioned that without resolution of the claim of subrogation, Commission approval of a LSS does not provide a safe harbor for claimant against the subsequent demand of a subrogated carrier.   Such a carrier may finally become engaged after the Commission has approved the LSS, and after </w:t>
      </w:r>
      <w:r w:rsidR="009307D5">
        <w:rPr>
          <w:rFonts w:ascii="Times New Roman" w:hAnsi="Times New Roman"/>
          <w:sz w:val="22"/>
          <w:szCs w:val="22"/>
        </w:rPr>
        <w:t>C</w:t>
      </w:r>
      <w:r w:rsidRPr="00502711">
        <w:rPr>
          <w:rFonts w:ascii="Times New Roman" w:hAnsi="Times New Roman"/>
          <w:sz w:val="22"/>
          <w:szCs w:val="22"/>
        </w:rPr>
        <w:t xml:space="preserve">laimant has committed the settlement money to other purposes, demanding satisfaction of its right of subrogation created under the policy of insurance.   Suffice it to say that the Commission’s approval of a LSS without resolution of a claim of subrogation does not necessarily relieve claimant of the need to deal with the matter in the future.    </w:t>
      </w:r>
    </w:p>
    <w:p w14:paraId="4A54DDB6" w14:textId="77777777" w:rsidR="00502711" w:rsidRPr="00502711" w:rsidRDefault="00502711" w:rsidP="00C43769">
      <w:pPr>
        <w:pStyle w:val="BodyText"/>
        <w:contextualSpacing/>
        <w:rPr>
          <w:rFonts w:ascii="Times New Roman" w:hAnsi="Times New Roman"/>
          <w:sz w:val="22"/>
          <w:szCs w:val="22"/>
        </w:rPr>
      </w:pPr>
    </w:p>
    <w:p w14:paraId="34CA6D27" w14:textId="77777777"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There are many other scenarios that could be entertained which might require different treatment by the Commission, but the above is a general statement of what we expect of parties to a settlement where the facts of the case suggest the existence of a contractual right of subrogation in an insurance carrier who has paid medical benefits which are also claimed in the workers’ compensation case, and which are resolved in a proposed LSS.</w:t>
      </w:r>
    </w:p>
    <w:p w14:paraId="54CA496F" w14:textId="77777777" w:rsidR="00502711" w:rsidRPr="00502711" w:rsidRDefault="00502711" w:rsidP="003546DB">
      <w:pPr>
        <w:pStyle w:val="BodyText"/>
        <w:contextualSpacing/>
        <w:rPr>
          <w:rFonts w:ascii="Times New Roman" w:hAnsi="Times New Roman"/>
          <w:sz w:val="22"/>
          <w:szCs w:val="22"/>
        </w:rPr>
      </w:pPr>
    </w:p>
    <w:p w14:paraId="6F70001D" w14:textId="03F6A699" w:rsidR="00502711" w:rsidRPr="00502711" w:rsidRDefault="00502711" w:rsidP="003546DB">
      <w:pPr>
        <w:pStyle w:val="BodyText"/>
        <w:contextualSpacing/>
        <w:rPr>
          <w:rFonts w:ascii="Times New Roman" w:hAnsi="Times New Roman"/>
          <w:sz w:val="22"/>
          <w:szCs w:val="22"/>
        </w:rPr>
      </w:pPr>
      <w:r w:rsidRPr="00502711">
        <w:rPr>
          <w:rFonts w:ascii="Times New Roman" w:hAnsi="Times New Roman"/>
          <w:sz w:val="22"/>
          <w:szCs w:val="22"/>
        </w:rPr>
        <w:lastRenderedPageBreak/>
        <w:t xml:space="preserve">The Commission has expanded the Claimant’s Attorney Memorandum (CAM) to reflect the Commission’s requirements concerning resolution of claims of subrogation governed by </w:t>
      </w:r>
      <w:r w:rsidRPr="0007435C">
        <w:rPr>
          <w:rFonts w:ascii="Times New Roman" w:hAnsi="Times New Roman"/>
          <w:i/>
          <w:iCs/>
          <w:sz w:val="22"/>
          <w:szCs w:val="22"/>
        </w:rPr>
        <w:t>Williams</w:t>
      </w:r>
      <w:r w:rsidR="0007435C">
        <w:rPr>
          <w:rFonts w:ascii="Times New Roman" w:hAnsi="Times New Roman"/>
          <w:sz w:val="22"/>
          <w:szCs w:val="22"/>
        </w:rPr>
        <w:t xml:space="preserve"> </w:t>
      </w:r>
      <w:r w:rsidRPr="00502711">
        <w:rPr>
          <w:rFonts w:ascii="Times New Roman" w:hAnsi="Times New Roman"/>
          <w:sz w:val="22"/>
          <w:szCs w:val="22"/>
        </w:rPr>
        <w:t>(</w:t>
      </w:r>
      <w:r w:rsidR="009307D5">
        <w:rPr>
          <w:rFonts w:ascii="Times New Roman" w:hAnsi="Times New Roman"/>
          <w:i/>
          <w:iCs/>
          <w:sz w:val="22"/>
          <w:szCs w:val="22"/>
        </w:rPr>
        <w:t>S</w:t>
      </w:r>
      <w:r w:rsidRPr="009307D5">
        <w:rPr>
          <w:rFonts w:ascii="Times New Roman" w:hAnsi="Times New Roman"/>
          <w:i/>
          <w:iCs/>
          <w:sz w:val="22"/>
          <w:szCs w:val="22"/>
        </w:rPr>
        <w:t>ee</w:t>
      </w:r>
      <w:r w:rsidRPr="00502711">
        <w:rPr>
          <w:rFonts w:ascii="Times New Roman" w:hAnsi="Times New Roman"/>
          <w:sz w:val="22"/>
          <w:szCs w:val="22"/>
        </w:rPr>
        <w:t xml:space="preserve"> JRP, Exhibit 5B)</w:t>
      </w:r>
      <w:r w:rsidR="0007435C">
        <w:rPr>
          <w:rFonts w:ascii="Times New Roman" w:hAnsi="Times New Roman"/>
          <w:sz w:val="22"/>
          <w:szCs w:val="22"/>
        </w:rPr>
        <w:t>.</w:t>
      </w:r>
    </w:p>
    <w:p w14:paraId="61C489FA" w14:textId="77777777" w:rsidR="00502711" w:rsidRPr="00502711" w:rsidRDefault="00502711" w:rsidP="003546DB">
      <w:pPr>
        <w:pStyle w:val="BodyText"/>
        <w:contextualSpacing/>
        <w:rPr>
          <w:rFonts w:ascii="Times New Roman" w:hAnsi="Times New Roman"/>
          <w:sz w:val="22"/>
          <w:szCs w:val="22"/>
        </w:rPr>
      </w:pPr>
    </w:p>
    <w:p w14:paraId="4BEE3009" w14:textId="122D1D85" w:rsidR="00502711" w:rsidRDefault="00D40520" w:rsidP="003546DB">
      <w:pPr>
        <w:pStyle w:val="BodyText"/>
        <w:contextualSpacing/>
        <w:rPr>
          <w:rFonts w:ascii="Times New Roman" w:hAnsi="Times New Roman"/>
          <w:sz w:val="22"/>
          <w:szCs w:val="22"/>
        </w:rPr>
      </w:pPr>
      <w:r>
        <w:rPr>
          <w:rFonts w:ascii="Times New Roman" w:hAnsi="Times New Roman"/>
          <w:sz w:val="22"/>
          <w:szCs w:val="22"/>
        </w:rPr>
        <w:t>The above is not new law, but an agency interpretation of existing law. Further questions or comments can be directed to:</w:t>
      </w:r>
    </w:p>
    <w:p w14:paraId="67D238F4" w14:textId="06DFC6FB" w:rsidR="00D40520" w:rsidRDefault="00D40520" w:rsidP="00C43769">
      <w:pPr>
        <w:pStyle w:val="BodyText"/>
        <w:contextualSpacing/>
        <w:rPr>
          <w:rFonts w:ascii="Times New Roman" w:hAnsi="Times New Roman"/>
          <w:sz w:val="22"/>
          <w:szCs w:val="22"/>
        </w:rPr>
      </w:pPr>
    </w:p>
    <w:p w14:paraId="51E13298" w14:textId="53796B0E" w:rsidR="00D40520" w:rsidRDefault="00D40520" w:rsidP="00C43769">
      <w:pPr>
        <w:pStyle w:val="BodyText"/>
        <w:contextualSpacing/>
        <w:rPr>
          <w:rFonts w:ascii="Times New Roman" w:hAnsi="Times New Roman"/>
          <w:sz w:val="22"/>
          <w:szCs w:val="22"/>
        </w:rPr>
      </w:pPr>
      <w:r>
        <w:rPr>
          <w:rFonts w:ascii="Times New Roman" w:hAnsi="Times New Roman"/>
          <w:sz w:val="22"/>
          <w:szCs w:val="22"/>
        </w:rPr>
        <w:t>Patti Vaughn, Benefits Administration Manager</w:t>
      </w:r>
    </w:p>
    <w:p w14:paraId="740CE242" w14:textId="7B81DF77" w:rsidR="00D40520" w:rsidRDefault="006A6AC4" w:rsidP="00C43769">
      <w:pPr>
        <w:pStyle w:val="BodyText"/>
        <w:contextualSpacing/>
        <w:rPr>
          <w:rFonts w:ascii="Times New Roman" w:hAnsi="Times New Roman"/>
          <w:sz w:val="22"/>
          <w:szCs w:val="22"/>
        </w:rPr>
      </w:pPr>
      <w:hyperlink r:id="rId11" w:history="1">
        <w:r w:rsidR="00D40520" w:rsidRPr="00F446E1">
          <w:rPr>
            <w:rStyle w:val="Hyperlink"/>
            <w:rFonts w:ascii="Times New Roman" w:hAnsi="Times New Roman"/>
            <w:sz w:val="22"/>
            <w:szCs w:val="22"/>
          </w:rPr>
          <w:t>Patti.Vaughn@iic.idaho.gov</w:t>
        </w:r>
      </w:hyperlink>
    </w:p>
    <w:p w14:paraId="66BDFAAB" w14:textId="68A4B2E7" w:rsidR="00D40520" w:rsidRDefault="00D40520" w:rsidP="00C43769">
      <w:pPr>
        <w:pStyle w:val="BodyText"/>
        <w:contextualSpacing/>
        <w:rPr>
          <w:rFonts w:ascii="Times New Roman" w:hAnsi="Times New Roman"/>
          <w:sz w:val="22"/>
          <w:szCs w:val="22"/>
        </w:rPr>
      </w:pPr>
      <w:r>
        <w:rPr>
          <w:rFonts w:ascii="Times New Roman" w:hAnsi="Times New Roman"/>
          <w:sz w:val="22"/>
          <w:szCs w:val="22"/>
        </w:rPr>
        <w:t xml:space="preserve">(208) </w:t>
      </w:r>
      <w:r w:rsidR="00896CF8">
        <w:rPr>
          <w:rFonts w:ascii="Times New Roman" w:hAnsi="Times New Roman"/>
          <w:sz w:val="22"/>
          <w:szCs w:val="22"/>
        </w:rPr>
        <w:t>334-6063</w:t>
      </w:r>
    </w:p>
    <w:p w14:paraId="5C4FF69E" w14:textId="306F3578" w:rsidR="00896CF8" w:rsidRDefault="00896CF8" w:rsidP="00C43769">
      <w:pPr>
        <w:pStyle w:val="BodyText"/>
        <w:contextualSpacing/>
        <w:rPr>
          <w:rFonts w:ascii="Times New Roman" w:hAnsi="Times New Roman"/>
          <w:sz w:val="22"/>
          <w:szCs w:val="22"/>
        </w:rPr>
      </w:pPr>
    </w:p>
    <w:p w14:paraId="3562FE02" w14:textId="31B75C28" w:rsidR="00BE431F" w:rsidRDefault="00BE431F" w:rsidP="00C43769">
      <w:pPr>
        <w:pStyle w:val="BodyText"/>
        <w:contextualSpacing/>
        <w:rPr>
          <w:rFonts w:ascii="Times New Roman" w:hAnsi="Times New Roman"/>
          <w:sz w:val="22"/>
          <w:szCs w:val="22"/>
        </w:rPr>
      </w:pPr>
    </w:p>
    <w:p w14:paraId="625744AB" w14:textId="77777777" w:rsidR="00BE431F" w:rsidRDefault="00BE431F" w:rsidP="00C43769">
      <w:pPr>
        <w:pStyle w:val="BodyText"/>
        <w:contextualSpacing/>
        <w:rPr>
          <w:rFonts w:ascii="Times New Roman" w:hAnsi="Times New Roman"/>
          <w:sz w:val="22"/>
          <w:szCs w:val="22"/>
        </w:rPr>
      </w:pPr>
    </w:p>
    <w:p w14:paraId="739126E3" w14:textId="091D16F2" w:rsidR="00896CF8" w:rsidRDefault="00896CF8" w:rsidP="00C43769">
      <w:pPr>
        <w:pStyle w:val="BodyText"/>
        <w:contextualSpacing/>
        <w:rPr>
          <w:rFonts w:ascii="Times New Roman" w:hAnsi="Times New Roman"/>
          <w:sz w:val="22"/>
          <w:szCs w:val="22"/>
        </w:rPr>
      </w:pPr>
      <w:r>
        <w:rPr>
          <w:rFonts w:ascii="Times New Roman" w:hAnsi="Times New Roman"/>
          <w:sz w:val="22"/>
          <w:szCs w:val="22"/>
        </w:rPr>
        <w:t>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w:t>
      </w:r>
      <w:r>
        <w:rPr>
          <w:rFonts w:ascii="Times New Roman" w:hAnsi="Times New Roman"/>
          <w:sz w:val="22"/>
          <w:szCs w:val="22"/>
        </w:rPr>
        <w:tab/>
      </w:r>
      <w:r>
        <w:rPr>
          <w:rFonts w:ascii="Times New Roman" w:hAnsi="Times New Roman"/>
          <w:sz w:val="22"/>
          <w:szCs w:val="22"/>
        </w:rPr>
        <w:tab/>
        <w:t>____________________</w:t>
      </w:r>
    </w:p>
    <w:p w14:paraId="7A6B9C66" w14:textId="40EEFC1B" w:rsidR="00896CF8" w:rsidRDefault="00896CF8" w:rsidP="00C43769">
      <w:pPr>
        <w:pStyle w:val="BodyText"/>
        <w:contextualSpacing/>
        <w:rPr>
          <w:rFonts w:ascii="Times New Roman" w:hAnsi="Times New Roman"/>
          <w:sz w:val="22"/>
          <w:szCs w:val="22"/>
        </w:rPr>
      </w:pPr>
      <w:r>
        <w:rPr>
          <w:rFonts w:ascii="Times New Roman" w:hAnsi="Times New Roman"/>
          <w:sz w:val="22"/>
          <w:szCs w:val="22"/>
        </w:rPr>
        <w:t>Aaron White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Thomas E. Limbaugh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610EA">
        <w:rPr>
          <w:rFonts w:ascii="Times New Roman" w:hAnsi="Times New Roman"/>
          <w:sz w:val="22"/>
          <w:szCs w:val="22"/>
        </w:rPr>
        <w:t>T</w:t>
      </w:r>
      <w:r>
        <w:rPr>
          <w:rFonts w:ascii="Times New Roman" w:hAnsi="Times New Roman"/>
          <w:sz w:val="22"/>
          <w:szCs w:val="22"/>
        </w:rPr>
        <w:t>homas P. Baskin</w:t>
      </w:r>
    </w:p>
    <w:p w14:paraId="4047C48C" w14:textId="2B4A7FA9" w:rsidR="00896CF8" w:rsidRDefault="00896CF8" w:rsidP="00C43769">
      <w:pPr>
        <w:pStyle w:val="BodyText"/>
        <w:contextualSpacing/>
        <w:rPr>
          <w:rFonts w:ascii="Times New Roman" w:hAnsi="Times New Roman"/>
          <w:sz w:val="22"/>
          <w:szCs w:val="22"/>
        </w:rPr>
      </w:pPr>
      <w:r>
        <w:rPr>
          <w:rFonts w:ascii="Times New Roman" w:hAnsi="Times New Roman"/>
          <w:sz w:val="22"/>
          <w:szCs w:val="22"/>
        </w:rPr>
        <w:t>Chairman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Commissioner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Commissioner</w:t>
      </w:r>
      <w:proofErr w:type="spellEnd"/>
    </w:p>
    <w:p w14:paraId="78B69ECA" w14:textId="77777777" w:rsidR="00896CF8" w:rsidRPr="00502711" w:rsidRDefault="00896CF8" w:rsidP="00C43769">
      <w:pPr>
        <w:pStyle w:val="BodyText"/>
        <w:contextualSpacing/>
        <w:rPr>
          <w:rFonts w:ascii="Times New Roman" w:hAnsi="Times New Roman"/>
          <w:sz w:val="22"/>
          <w:szCs w:val="22"/>
        </w:rPr>
      </w:pPr>
    </w:p>
    <w:p w14:paraId="7DF963CB" w14:textId="77777777" w:rsidR="00BE431F" w:rsidRDefault="00BE431F" w:rsidP="00C43769">
      <w:pPr>
        <w:pStyle w:val="BodyText"/>
        <w:contextualSpacing/>
        <w:rPr>
          <w:rFonts w:ascii="Times New Roman" w:hAnsi="Times New Roman"/>
          <w:sz w:val="22"/>
          <w:szCs w:val="22"/>
        </w:rPr>
      </w:pPr>
    </w:p>
    <w:p w14:paraId="4D2F7383" w14:textId="77777777" w:rsidR="00BE431F" w:rsidRDefault="00BE431F" w:rsidP="00C43769">
      <w:pPr>
        <w:pStyle w:val="BodyText"/>
        <w:contextualSpacing/>
        <w:rPr>
          <w:rFonts w:ascii="Times New Roman" w:hAnsi="Times New Roman"/>
          <w:sz w:val="22"/>
          <w:szCs w:val="22"/>
        </w:rPr>
      </w:pPr>
    </w:p>
    <w:p w14:paraId="0BB5988C" w14:textId="637651DD"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Changes for Exhibit </w:t>
      </w:r>
      <w:proofErr w:type="gramStart"/>
      <w:r w:rsidRPr="00502711">
        <w:rPr>
          <w:rFonts w:ascii="Times New Roman" w:hAnsi="Times New Roman"/>
          <w:sz w:val="22"/>
          <w:szCs w:val="22"/>
        </w:rPr>
        <w:t>5B;</w:t>
      </w:r>
      <w:proofErr w:type="gramEnd"/>
    </w:p>
    <w:p w14:paraId="50A9ED14" w14:textId="77777777" w:rsidR="00502711" w:rsidRPr="00502711" w:rsidRDefault="00502711" w:rsidP="00C43769">
      <w:pPr>
        <w:pStyle w:val="BodyText"/>
        <w:contextualSpacing/>
        <w:rPr>
          <w:rFonts w:ascii="Times New Roman" w:hAnsi="Times New Roman"/>
          <w:sz w:val="22"/>
          <w:szCs w:val="22"/>
        </w:rPr>
      </w:pPr>
    </w:p>
    <w:p w14:paraId="21F8F747" w14:textId="64B64647" w:rsidR="00502711" w:rsidRP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Replace section </w:t>
      </w:r>
      <w:r w:rsidR="00350568" w:rsidRPr="00502711">
        <w:rPr>
          <w:rFonts w:ascii="Times New Roman" w:hAnsi="Times New Roman"/>
          <w:sz w:val="22"/>
          <w:szCs w:val="22"/>
        </w:rPr>
        <w:t>starting “</w:t>
      </w:r>
      <w:r w:rsidRPr="00502711">
        <w:rPr>
          <w:rFonts w:ascii="Times New Roman" w:hAnsi="Times New Roman"/>
          <w:sz w:val="22"/>
          <w:szCs w:val="22"/>
        </w:rPr>
        <w:t>Has each subrogated 3rd party…”  with the following:</w:t>
      </w:r>
    </w:p>
    <w:p w14:paraId="67331E8E" w14:textId="32EEA163" w:rsidR="00502711" w:rsidRDefault="00502711" w:rsidP="00C43769">
      <w:pPr>
        <w:pStyle w:val="BodyText"/>
        <w:contextualSpacing/>
        <w:rPr>
          <w:rFonts w:ascii="Times New Roman" w:hAnsi="Times New Roman"/>
          <w:sz w:val="22"/>
          <w:szCs w:val="22"/>
        </w:rPr>
      </w:pPr>
      <w:r w:rsidRPr="00502711">
        <w:rPr>
          <w:rFonts w:ascii="Times New Roman" w:hAnsi="Times New Roman"/>
          <w:sz w:val="22"/>
          <w:szCs w:val="22"/>
        </w:rPr>
        <w:t xml:space="preserve">“Subrogation </w:t>
      </w:r>
      <w:r w:rsidR="00867030">
        <w:rPr>
          <w:rFonts w:ascii="Times New Roman" w:hAnsi="Times New Roman"/>
          <w:sz w:val="22"/>
          <w:szCs w:val="22"/>
        </w:rPr>
        <w:t>C</w:t>
      </w:r>
      <w:r w:rsidRPr="00502711">
        <w:rPr>
          <w:rFonts w:ascii="Times New Roman" w:hAnsi="Times New Roman"/>
          <w:sz w:val="22"/>
          <w:szCs w:val="22"/>
        </w:rPr>
        <w:t>laims</w:t>
      </w:r>
      <w:r w:rsidR="00867030">
        <w:rPr>
          <w:rFonts w:ascii="Times New Roman" w:hAnsi="Times New Roman"/>
          <w:sz w:val="22"/>
          <w:szCs w:val="22"/>
        </w:rPr>
        <w:t>”</w:t>
      </w:r>
    </w:p>
    <w:p w14:paraId="764808D3" w14:textId="77777777" w:rsidR="00867030" w:rsidRPr="00502711" w:rsidRDefault="00867030" w:rsidP="00C43769">
      <w:pPr>
        <w:pStyle w:val="BodyText"/>
        <w:contextualSpacing/>
        <w:rPr>
          <w:rFonts w:ascii="Times New Roman" w:hAnsi="Times New Roman"/>
          <w:sz w:val="22"/>
          <w:szCs w:val="22"/>
        </w:rPr>
      </w:pPr>
    </w:p>
    <w:p w14:paraId="6F69ACBA" w14:textId="47E2B3F4" w:rsidR="005B38C6" w:rsidRDefault="005B38C6" w:rsidP="001802E7">
      <w:pPr>
        <w:pStyle w:val="BodyText"/>
        <w:numPr>
          <w:ilvl w:val="0"/>
          <w:numId w:val="2"/>
        </w:numPr>
        <w:contextualSpacing/>
        <w:rPr>
          <w:rFonts w:ascii="Times New Roman" w:hAnsi="Times New Roman"/>
          <w:sz w:val="22"/>
          <w:szCs w:val="22"/>
        </w:rPr>
      </w:pPr>
      <w:r>
        <w:rPr>
          <w:rFonts w:ascii="Times New Roman" w:hAnsi="Times New Roman"/>
          <w:sz w:val="22"/>
          <w:szCs w:val="22"/>
        </w:rPr>
        <w:t xml:space="preserve">Did the workers’ compensation surety or self-insured </w:t>
      </w:r>
      <w:r w:rsidR="00904470">
        <w:rPr>
          <w:rFonts w:ascii="Times New Roman" w:hAnsi="Times New Roman"/>
          <w:sz w:val="22"/>
          <w:szCs w:val="22"/>
        </w:rPr>
        <w:t>employer deny</w:t>
      </w:r>
      <w:r>
        <w:rPr>
          <w:rFonts w:ascii="Times New Roman" w:hAnsi="Times New Roman"/>
          <w:sz w:val="22"/>
          <w:szCs w:val="22"/>
        </w:rPr>
        <w:t xml:space="preserve"> responsibility for medical care that was claimed as part of </w:t>
      </w:r>
      <w:r w:rsidR="00904470">
        <w:rPr>
          <w:rFonts w:ascii="Times New Roman" w:hAnsi="Times New Roman"/>
          <w:sz w:val="22"/>
          <w:szCs w:val="22"/>
        </w:rPr>
        <w:t>the subject</w:t>
      </w:r>
      <w:r>
        <w:rPr>
          <w:rFonts w:ascii="Times New Roman" w:hAnsi="Times New Roman"/>
          <w:sz w:val="22"/>
          <w:szCs w:val="22"/>
        </w:rPr>
        <w:t xml:space="preserve"> accident/injury or occupational disease?</w:t>
      </w:r>
    </w:p>
    <w:p w14:paraId="0FE7C0EC" w14:textId="16275DAE" w:rsidR="001802E7" w:rsidRDefault="005B38C6" w:rsidP="001802E7">
      <w:pPr>
        <w:pStyle w:val="BodyText"/>
        <w:numPr>
          <w:ilvl w:val="0"/>
          <w:numId w:val="2"/>
        </w:numPr>
        <w:contextualSpacing/>
        <w:rPr>
          <w:rFonts w:ascii="Times New Roman" w:hAnsi="Times New Roman"/>
          <w:sz w:val="22"/>
          <w:szCs w:val="22"/>
        </w:rPr>
      </w:pPr>
      <w:r>
        <w:rPr>
          <w:rFonts w:ascii="Times New Roman" w:hAnsi="Times New Roman"/>
          <w:sz w:val="22"/>
          <w:szCs w:val="22"/>
        </w:rPr>
        <w:t>Was the denied care paid for by a third party subject to a right of subrogation in any subsequent workers</w:t>
      </w:r>
      <w:r w:rsidR="00881BAA">
        <w:rPr>
          <w:rFonts w:ascii="Times New Roman" w:hAnsi="Times New Roman"/>
          <w:sz w:val="22"/>
          <w:szCs w:val="22"/>
        </w:rPr>
        <w:t>’</w:t>
      </w:r>
      <w:r>
        <w:rPr>
          <w:rFonts w:ascii="Times New Roman" w:hAnsi="Times New Roman"/>
          <w:sz w:val="22"/>
          <w:szCs w:val="22"/>
        </w:rPr>
        <w:t xml:space="preserve"> compensation recovery?</w:t>
      </w:r>
    </w:p>
    <w:p w14:paraId="34F16475" w14:textId="77777777" w:rsidR="001802E7" w:rsidRDefault="00502711" w:rsidP="00C43769">
      <w:pPr>
        <w:pStyle w:val="BodyText"/>
        <w:numPr>
          <w:ilvl w:val="0"/>
          <w:numId w:val="2"/>
        </w:numPr>
        <w:contextualSpacing/>
        <w:rPr>
          <w:rFonts w:ascii="Times New Roman" w:hAnsi="Times New Roman"/>
          <w:sz w:val="22"/>
          <w:szCs w:val="22"/>
        </w:rPr>
      </w:pPr>
      <w:r w:rsidRPr="001802E7">
        <w:rPr>
          <w:rFonts w:ascii="Times New Roman" w:hAnsi="Times New Roman"/>
          <w:sz w:val="22"/>
          <w:szCs w:val="22"/>
        </w:rPr>
        <w:t>Is the claim for</w:t>
      </w:r>
      <w:r w:rsidR="001469C8" w:rsidRPr="001802E7">
        <w:rPr>
          <w:rFonts w:ascii="Times New Roman" w:hAnsi="Times New Roman"/>
          <w:sz w:val="22"/>
          <w:szCs w:val="22"/>
        </w:rPr>
        <w:t xml:space="preserve"> </w:t>
      </w:r>
      <w:r w:rsidR="001802E7" w:rsidRPr="001802E7">
        <w:rPr>
          <w:rFonts w:ascii="Times New Roman" w:hAnsi="Times New Roman"/>
          <w:sz w:val="22"/>
          <w:szCs w:val="22"/>
        </w:rPr>
        <w:t>the denied</w:t>
      </w:r>
      <w:r w:rsidRPr="001802E7">
        <w:rPr>
          <w:rFonts w:ascii="Times New Roman" w:hAnsi="Times New Roman"/>
          <w:sz w:val="22"/>
          <w:szCs w:val="22"/>
        </w:rPr>
        <w:t xml:space="preserve"> care compromised in the proposed LSS?</w:t>
      </w:r>
    </w:p>
    <w:p w14:paraId="6A49CA8E" w14:textId="77777777" w:rsidR="001802E7" w:rsidRDefault="001469C8" w:rsidP="001802E7">
      <w:pPr>
        <w:pStyle w:val="BodyText"/>
        <w:numPr>
          <w:ilvl w:val="0"/>
          <w:numId w:val="2"/>
        </w:numPr>
        <w:contextualSpacing/>
        <w:rPr>
          <w:rFonts w:ascii="Times New Roman" w:hAnsi="Times New Roman"/>
          <w:sz w:val="22"/>
          <w:szCs w:val="22"/>
        </w:rPr>
      </w:pPr>
      <w:r w:rsidRPr="001802E7">
        <w:rPr>
          <w:rFonts w:ascii="Times New Roman" w:hAnsi="Times New Roman"/>
          <w:sz w:val="22"/>
          <w:szCs w:val="22"/>
        </w:rPr>
        <w:t xml:space="preserve">Has the subrogated </w:t>
      </w:r>
      <w:r w:rsidR="007500F4" w:rsidRPr="001802E7">
        <w:rPr>
          <w:rFonts w:ascii="Times New Roman" w:hAnsi="Times New Roman"/>
          <w:sz w:val="22"/>
          <w:szCs w:val="22"/>
        </w:rPr>
        <w:t>third party</w:t>
      </w:r>
      <w:r w:rsidRPr="001802E7">
        <w:rPr>
          <w:rFonts w:ascii="Times New Roman" w:hAnsi="Times New Roman"/>
          <w:sz w:val="22"/>
          <w:szCs w:val="22"/>
        </w:rPr>
        <w:t xml:space="preserve"> been put on notice that the pending settlement resolves the issue of claimant’s</w:t>
      </w:r>
      <w:r w:rsidR="0033111A" w:rsidRPr="001802E7">
        <w:rPr>
          <w:rFonts w:ascii="Times New Roman" w:hAnsi="Times New Roman"/>
          <w:sz w:val="22"/>
          <w:szCs w:val="22"/>
        </w:rPr>
        <w:t xml:space="preserve"> </w:t>
      </w:r>
      <w:r w:rsidRPr="001802E7">
        <w:rPr>
          <w:rFonts w:ascii="Times New Roman" w:hAnsi="Times New Roman"/>
          <w:sz w:val="22"/>
          <w:szCs w:val="22"/>
        </w:rPr>
        <w:t>entitlement to the denied care.</w:t>
      </w:r>
      <w:r w:rsidR="0033111A" w:rsidRPr="001802E7">
        <w:rPr>
          <w:rFonts w:ascii="Times New Roman" w:hAnsi="Times New Roman"/>
          <w:sz w:val="22"/>
          <w:szCs w:val="22"/>
        </w:rPr>
        <w:t xml:space="preserve">  (The Commission may require copies of relevant communications between claimant and the subrogated </w:t>
      </w:r>
      <w:r w:rsidR="007500F4" w:rsidRPr="001802E7">
        <w:rPr>
          <w:rFonts w:ascii="Times New Roman" w:hAnsi="Times New Roman"/>
          <w:sz w:val="22"/>
          <w:szCs w:val="22"/>
        </w:rPr>
        <w:t>third party</w:t>
      </w:r>
      <w:r w:rsidR="0033111A" w:rsidRPr="001802E7">
        <w:rPr>
          <w:rFonts w:ascii="Times New Roman" w:hAnsi="Times New Roman"/>
          <w:sz w:val="22"/>
          <w:szCs w:val="22"/>
        </w:rPr>
        <w:t>.)</w:t>
      </w:r>
    </w:p>
    <w:p w14:paraId="0AC91C80" w14:textId="77777777" w:rsidR="001802E7" w:rsidRDefault="00502711" w:rsidP="00C43769">
      <w:pPr>
        <w:pStyle w:val="BodyText"/>
        <w:numPr>
          <w:ilvl w:val="0"/>
          <w:numId w:val="2"/>
        </w:numPr>
        <w:contextualSpacing/>
        <w:rPr>
          <w:rFonts w:ascii="Times New Roman" w:hAnsi="Times New Roman"/>
          <w:sz w:val="22"/>
          <w:szCs w:val="22"/>
        </w:rPr>
      </w:pPr>
      <w:r w:rsidRPr="001802E7">
        <w:rPr>
          <w:rFonts w:ascii="Times New Roman" w:hAnsi="Times New Roman"/>
          <w:sz w:val="22"/>
          <w:szCs w:val="22"/>
        </w:rPr>
        <w:t>Has the subrogation claim been resolved</w:t>
      </w:r>
      <w:r w:rsidR="000A53C0" w:rsidRPr="001802E7">
        <w:rPr>
          <w:rFonts w:ascii="Times New Roman" w:hAnsi="Times New Roman"/>
          <w:sz w:val="22"/>
          <w:szCs w:val="22"/>
        </w:rPr>
        <w:t xml:space="preserve"> following </w:t>
      </w:r>
      <w:r w:rsidR="008C296A" w:rsidRPr="001802E7">
        <w:rPr>
          <w:rFonts w:ascii="Times New Roman" w:hAnsi="Times New Roman"/>
          <w:sz w:val="22"/>
          <w:szCs w:val="22"/>
        </w:rPr>
        <w:t>negotiations with the subrogated third party</w:t>
      </w:r>
      <w:r w:rsidRPr="001802E7">
        <w:rPr>
          <w:rFonts w:ascii="Times New Roman" w:hAnsi="Times New Roman"/>
          <w:sz w:val="22"/>
          <w:szCs w:val="22"/>
        </w:rPr>
        <w:t>?  If so, under what terms?</w:t>
      </w:r>
      <w:r w:rsidR="007500F4" w:rsidRPr="001802E7">
        <w:rPr>
          <w:rFonts w:ascii="Times New Roman" w:hAnsi="Times New Roman"/>
          <w:sz w:val="22"/>
          <w:szCs w:val="22"/>
        </w:rPr>
        <w:t xml:space="preserve"> </w:t>
      </w:r>
    </w:p>
    <w:p w14:paraId="241BE951" w14:textId="77777777" w:rsidR="001802E7" w:rsidRDefault="007500F4" w:rsidP="001802E7">
      <w:pPr>
        <w:pStyle w:val="BodyText"/>
        <w:numPr>
          <w:ilvl w:val="0"/>
          <w:numId w:val="2"/>
        </w:numPr>
        <w:contextualSpacing/>
        <w:rPr>
          <w:rFonts w:ascii="Times New Roman" w:hAnsi="Times New Roman"/>
          <w:sz w:val="22"/>
          <w:szCs w:val="22"/>
        </w:rPr>
      </w:pPr>
      <w:r w:rsidRPr="001802E7">
        <w:rPr>
          <w:rFonts w:ascii="Times New Roman" w:hAnsi="Times New Roman"/>
          <w:sz w:val="22"/>
          <w:szCs w:val="22"/>
        </w:rPr>
        <w:t xml:space="preserve">If </w:t>
      </w:r>
      <w:r w:rsidR="008C296A" w:rsidRPr="001802E7">
        <w:rPr>
          <w:rFonts w:ascii="Times New Roman" w:hAnsi="Times New Roman"/>
          <w:sz w:val="22"/>
          <w:szCs w:val="22"/>
        </w:rPr>
        <w:t>negotiations have been unsuccessful in resolving the</w:t>
      </w:r>
      <w:r w:rsidR="000A53C0" w:rsidRPr="001802E7">
        <w:rPr>
          <w:rFonts w:ascii="Times New Roman" w:hAnsi="Times New Roman"/>
          <w:sz w:val="22"/>
          <w:szCs w:val="22"/>
        </w:rPr>
        <w:t xml:space="preserve"> subrogation claim</w:t>
      </w:r>
      <w:r w:rsidRPr="001802E7">
        <w:rPr>
          <w:rFonts w:ascii="Times New Roman" w:hAnsi="Times New Roman"/>
          <w:sz w:val="22"/>
          <w:szCs w:val="22"/>
        </w:rPr>
        <w:t>,</w:t>
      </w:r>
      <w:r w:rsidR="000A53C0" w:rsidRPr="001802E7">
        <w:rPr>
          <w:rFonts w:ascii="Times New Roman" w:hAnsi="Times New Roman"/>
          <w:sz w:val="22"/>
          <w:szCs w:val="22"/>
        </w:rPr>
        <w:t xml:space="preserve"> </w:t>
      </w:r>
      <w:r w:rsidR="008C296A" w:rsidRPr="001802E7">
        <w:rPr>
          <w:rFonts w:ascii="Times New Roman" w:hAnsi="Times New Roman"/>
          <w:sz w:val="22"/>
          <w:szCs w:val="22"/>
        </w:rPr>
        <w:t>explain why</w:t>
      </w:r>
      <w:r w:rsidR="00BF17FF" w:rsidRPr="001802E7">
        <w:rPr>
          <w:rFonts w:ascii="Times New Roman" w:hAnsi="Times New Roman"/>
          <w:sz w:val="22"/>
          <w:szCs w:val="22"/>
        </w:rPr>
        <w:t xml:space="preserve"> approval of the proposed LSS is nevertheless in </w:t>
      </w:r>
      <w:r w:rsidR="00904470" w:rsidRPr="001802E7">
        <w:rPr>
          <w:rFonts w:ascii="Times New Roman" w:hAnsi="Times New Roman"/>
          <w:sz w:val="22"/>
          <w:szCs w:val="22"/>
        </w:rPr>
        <w:t>c</w:t>
      </w:r>
      <w:r w:rsidR="00BF17FF" w:rsidRPr="001802E7">
        <w:rPr>
          <w:rFonts w:ascii="Times New Roman" w:hAnsi="Times New Roman"/>
          <w:sz w:val="22"/>
          <w:szCs w:val="22"/>
        </w:rPr>
        <w:t>laimant’s best interest.</w:t>
      </w:r>
      <w:r w:rsidR="00502711" w:rsidRPr="001802E7">
        <w:rPr>
          <w:rFonts w:ascii="Times New Roman" w:hAnsi="Times New Roman"/>
          <w:sz w:val="22"/>
          <w:szCs w:val="22"/>
        </w:rPr>
        <w:t xml:space="preserve"> </w:t>
      </w:r>
    </w:p>
    <w:p w14:paraId="75F5FE13" w14:textId="791BFE32" w:rsidR="00EE4599" w:rsidRPr="001802E7" w:rsidRDefault="00502711" w:rsidP="001802E7">
      <w:pPr>
        <w:pStyle w:val="BodyText"/>
        <w:numPr>
          <w:ilvl w:val="0"/>
          <w:numId w:val="2"/>
        </w:numPr>
        <w:contextualSpacing/>
        <w:rPr>
          <w:rFonts w:ascii="Times New Roman" w:hAnsi="Times New Roman"/>
          <w:sz w:val="22"/>
          <w:szCs w:val="22"/>
        </w:rPr>
      </w:pPr>
      <w:r w:rsidRPr="001802E7">
        <w:rPr>
          <w:rFonts w:ascii="Times New Roman" w:hAnsi="Times New Roman"/>
          <w:sz w:val="22"/>
          <w:szCs w:val="22"/>
        </w:rPr>
        <w:t>If th</w:t>
      </w:r>
      <w:r w:rsidR="0033111A" w:rsidRPr="001802E7">
        <w:rPr>
          <w:rFonts w:ascii="Times New Roman" w:hAnsi="Times New Roman"/>
          <w:sz w:val="22"/>
          <w:szCs w:val="22"/>
        </w:rPr>
        <w:t xml:space="preserve">e Commission approves a </w:t>
      </w:r>
      <w:r w:rsidR="00BF17FF" w:rsidRPr="001802E7">
        <w:rPr>
          <w:rFonts w:ascii="Times New Roman" w:hAnsi="Times New Roman"/>
          <w:sz w:val="22"/>
          <w:szCs w:val="22"/>
        </w:rPr>
        <w:t xml:space="preserve">LSS </w:t>
      </w:r>
      <w:r w:rsidR="0033111A" w:rsidRPr="001802E7">
        <w:rPr>
          <w:rFonts w:ascii="Times New Roman" w:hAnsi="Times New Roman"/>
          <w:sz w:val="22"/>
          <w:szCs w:val="22"/>
        </w:rPr>
        <w:t xml:space="preserve">in a case where the subrogated </w:t>
      </w:r>
      <w:r w:rsidR="007500F4" w:rsidRPr="001802E7">
        <w:rPr>
          <w:rFonts w:ascii="Times New Roman" w:hAnsi="Times New Roman"/>
          <w:sz w:val="22"/>
          <w:szCs w:val="22"/>
        </w:rPr>
        <w:t>party</w:t>
      </w:r>
      <w:r w:rsidR="0033111A" w:rsidRPr="001802E7">
        <w:rPr>
          <w:rFonts w:ascii="Times New Roman" w:hAnsi="Times New Roman"/>
          <w:sz w:val="22"/>
          <w:szCs w:val="22"/>
        </w:rPr>
        <w:t xml:space="preserve"> has not responded to claimant’s invitation to negotiate resolution of the subrogation </w:t>
      </w:r>
      <w:r w:rsidR="00AD74DF" w:rsidRPr="001802E7">
        <w:rPr>
          <w:rFonts w:ascii="Times New Roman" w:hAnsi="Times New Roman"/>
          <w:sz w:val="22"/>
          <w:szCs w:val="22"/>
        </w:rPr>
        <w:t>claim, has</w:t>
      </w:r>
      <w:r w:rsidRPr="001802E7">
        <w:rPr>
          <w:rFonts w:ascii="Times New Roman" w:hAnsi="Times New Roman"/>
          <w:sz w:val="22"/>
          <w:szCs w:val="22"/>
        </w:rPr>
        <w:t xml:space="preserve"> claimant been counseled about the </w:t>
      </w:r>
      <w:r w:rsidR="00350568" w:rsidRPr="001802E7">
        <w:rPr>
          <w:rFonts w:ascii="Times New Roman" w:hAnsi="Times New Roman"/>
          <w:sz w:val="22"/>
          <w:szCs w:val="22"/>
        </w:rPr>
        <w:t>potential that</w:t>
      </w:r>
      <w:r w:rsidRPr="001802E7">
        <w:rPr>
          <w:rFonts w:ascii="Times New Roman" w:hAnsi="Times New Roman"/>
          <w:sz w:val="22"/>
          <w:szCs w:val="22"/>
        </w:rPr>
        <w:t xml:space="preserve"> a subrogation claim may yet be pursued against</w:t>
      </w:r>
      <w:r w:rsidR="0033111A" w:rsidRPr="001802E7">
        <w:rPr>
          <w:rFonts w:ascii="Times New Roman" w:hAnsi="Times New Roman"/>
          <w:sz w:val="22"/>
          <w:szCs w:val="22"/>
        </w:rPr>
        <w:t xml:space="preserve"> the</w:t>
      </w:r>
      <w:r w:rsidRPr="001802E7">
        <w:rPr>
          <w:rFonts w:ascii="Times New Roman" w:hAnsi="Times New Roman"/>
          <w:sz w:val="22"/>
          <w:szCs w:val="22"/>
        </w:rPr>
        <w:t xml:space="preserve"> proceeds of settlement?  </w:t>
      </w:r>
    </w:p>
    <w:p w14:paraId="4B98AF1B" w14:textId="77777777" w:rsidR="00A8535E" w:rsidRPr="00241C0F" w:rsidRDefault="00A8535E" w:rsidP="00D756D3">
      <w:pPr>
        <w:ind w:right="-90"/>
        <w:jc w:val="both"/>
        <w:rPr>
          <w:rFonts w:ascii="Times New Roman" w:hAnsi="Times New Roman"/>
          <w:sz w:val="22"/>
          <w:szCs w:val="22"/>
        </w:rPr>
      </w:pPr>
    </w:p>
    <w:p w14:paraId="75F5FE19" w14:textId="450749DA" w:rsidR="00A8535E" w:rsidRPr="00A8535E" w:rsidRDefault="00A8535E" w:rsidP="00896CF8">
      <w:pPr>
        <w:ind w:right="-90"/>
        <w:jc w:val="both"/>
        <w:rPr>
          <w:rFonts w:ascii="Times New Roman" w:hAnsi="Times New Roman"/>
          <w:sz w:val="22"/>
          <w:szCs w:val="22"/>
        </w:rPr>
        <w:sectPr w:rsidR="00A8535E" w:rsidRPr="00A8535E" w:rsidSect="0003794D">
          <w:footerReference w:type="default" r:id="rId12"/>
          <w:headerReference w:type="first" r:id="rId13"/>
          <w:footerReference w:type="first" r:id="rId14"/>
          <w:pgSz w:w="12240" w:h="15840"/>
          <w:pgMar w:top="720" w:right="990" w:bottom="720" w:left="1260" w:header="720" w:footer="435" w:gutter="0"/>
          <w:cols w:space="720"/>
          <w:titlePg/>
          <w:docGrid w:linePitch="360"/>
        </w:sectPr>
      </w:pPr>
    </w:p>
    <w:p w14:paraId="6553E77F" w14:textId="5D389598" w:rsidR="007F3DEF" w:rsidRPr="008D2BDB" w:rsidRDefault="007F3DEF">
      <w:pPr>
        <w:rPr>
          <w:rFonts w:ascii="Times New Roman" w:hAnsi="Times New Roman"/>
        </w:rPr>
      </w:pPr>
    </w:p>
    <w:sectPr w:rsidR="007F3DEF" w:rsidRPr="008D2BDB" w:rsidSect="00913E88">
      <w:type w:val="continuous"/>
      <w:pgSz w:w="12240" w:h="15840"/>
      <w:pgMar w:top="1440" w:right="1440" w:bottom="1440" w:left="1440" w:header="720" w:footer="345"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2123" w14:textId="77777777" w:rsidR="006A6AC4" w:rsidRDefault="006A6AC4" w:rsidP="003841AC">
      <w:r>
        <w:separator/>
      </w:r>
    </w:p>
  </w:endnote>
  <w:endnote w:type="continuationSeparator" w:id="0">
    <w:p w14:paraId="321C8476" w14:textId="77777777" w:rsidR="006A6AC4" w:rsidRDefault="006A6AC4" w:rsidP="003841AC">
      <w:r>
        <w:continuationSeparator/>
      </w:r>
    </w:p>
  </w:endnote>
  <w:endnote w:type="continuationNotice" w:id="1">
    <w:p w14:paraId="5B41EBB9" w14:textId="77777777" w:rsidR="006A6AC4" w:rsidRDefault="006A6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679448"/>
      <w:docPartObj>
        <w:docPartGallery w:val="Page Numbers (Bottom of Page)"/>
        <w:docPartUnique/>
      </w:docPartObj>
    </w:sdtPr>
    <w:sdtEndPr>
      <w:rPr>
        <w:rFonts w:ascii="Times New Roman" w:hAnsi="Times New Roman"/>
        <w:noProof/>
      </w:rPr>
    </w:sdtEndPr>
    <w:sdtContent>
      <w:p w14:paraId="3B72B6F6" w14:textId="77777777" w:rsidR="007A12FE" w:rsidRPr="007A12FE" w:rsidRDefault="007A12FE" w:rsidP="007A12FE">
        <w:pPr>
          <w:pStyle w:val="Footer"/>
          <w:rPr>
            <w:rFonts w:ascii="Times New Roman" w:hAnsi="Times New Roman"/>
          </w:rPr>
        </w:pPr>
        <w:r w:rsidRPr="007A12FE">
          <w:rPr>
            <w:rFonts w:ascii="Times New Roman" w:hAnsi="Times New Roman"/>
          </w:rPr>
          <w:t xml:space="preserve">Memo Re: Resolution of the Claims of Subrogated Payors in Connection with Lump Sum Settlements </w:t>
        </w:r>
      </w:p>
      <w:p w14:paraId="3AE1D369" w14:textId="1DC8BBBF" w:rsidR="007A12FE" w:rsidRPr="007A12FE" w:rsidRDefault="00ED3934" w:rsidP="007A12FE">
        <w:pPr>
          <w:pStyle w:val="Footer"/>
          <w:rPr>
            <w:rFonts w:ascii="Times New Roman" w:hAnsi="Times New Roman"/>
          </w:rPr>
        </w:pPr>
        <w:r>
          <w:rPr>
            <w:rFonts w:ascii="Times New Roman" w:hAnsi="Times New Roman"/>
          </w:rPr>
          <w:t>October</w:t>
        </w:r>
        <w:r w:rsidR="007A12FE" w:rsidRPr="007A12FE">
          <w:rPr>
            <w:rFonts w:ascii="Times New Roman" w:hAnsi="Times New Roman"/>
          </w:rPr>
          <w:t xml:space="preserve"> __, 2021</w:t>
        </w:r>
      </w:p>
      <w:p w14:paraId="6504E8F4" w14:textId="107E271D" w:rsidR="007A12FE" w:rsidRPr="007A12FE" w:rsidRDefault="007A12FE" w:rsidP="007A12FE">
        <w:pPr>
          <w:pStyle w:val="Footer"/>
          <w:rPr>
            <w:rFonts w:ascii="Times New Roman" w:hAnsi="Times New Roman"/>
          </w:rPr>
        </w:pPr>
        <w:r w:rsidRPr="007A12FE">
          <w:rPr>
            <w:rFonts w:ascii="Times New Roman" w:hAnsi="Times New Roman"/>
          </w:rPr>
          <w:t xml:space="preserve">Page </w:t>
        </w:r>
        <w:r w:rsidRPr="007A12FE">
          <w:rPr>
            <w:rFonts w:ascii="Times New Roman" w:hAnsi="Times New Roman"/>
          </w:rPr>
          <w:fldChar w:fldCharType="begin"/>
        </w:r>
        <w:r w:rsidRPr="007A12FE">
          <w:rPr>
            <w:rFonts w:ascii="Times New Roman" w:hAnsi="Times New Roman"/>
          </w:rPr>
          <w:instrText xml:space="preserve"> PAGE   \* MERGEFORMAT </w:instrText>
        </w:r>
        <w:r w:rsidRPr="007A12FE">
          <w:rPr>
            <w:rFonts w:ascii="Times New Roman" w:hAnsi="Times New Roman"/>
          </w:rPr>
          <w:fldChar w:fldCharType="separate"/>
        </w:r>
        <w:r w:rsidRPr="007A12FE">
          <w:rPr>
            <w:rFonts w:ascii="Times New Roman" w:hAnsi="Times New Roman"/>
            <w:noProof/>
          </w:rPr>
          <w:t>2</w:t>
        </w:r>
        <w:r w:rsidRPr="007A12FE">
          <w:rPr>
            <w:rFonts w:ascii="Times New Roman" w:hAnsi="Times New Roman"/>
            <w:noProof/>
          </w:rPr>
          <w:fldChar w:fldCharType="end"/>
        </w:r>
      </w:p>
    </w:sdtContent>
  </w:sdt>
  <w:p w14:paraId="38C45E64" w14:textId="479CCA2D" w:rsidR="007A12FE" w:rsidRDefault="007A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FFF6" w14:textId="77777777" w:rsidR="00000501" w:rsidRPr="003524C3" w:rsidRDefault="00000501" w:rsidP="00000501">
    <w:pPr>
      <w:widowControl w:val="0"/>
      <w:tabs>
        <w:tab w:val="left" w:pos="0"/>
        <w:tab w:val="right" w:pos="8640"/>
      </w:tabs>
      <w:suppressAutoHyphens/>
      <w:jc w:val="center"/>
      <w:rPr>
        <w:rFonts w:ascii="Times New Roman" w:hAnsi="Times New Roman"/>
        <w:snapToGrid w:val="0"/>
        <w:color w:val="000080"/>
        <w:spacing w:val="0"/>
        <w:sz w:val="16"/>
      </w:rPr>
    </w:pPr>
    <w:r w:rsidRPr="003524C3">
      <w:rPr>
        <w:rFonts w:ascii="Times New Roman" w:hAnsi="Times New Roman"/>
        <w:snapToGrid w:val="0"/>
        <w:color w:val="000080"/>
        <w:spacing w:val="0"/>
        <w:sz w:val="16"/>
      </w:rPr>
      <w:t>11321 W. Chinden Blvd., Boise, ID 83714</w:t>
    </w:r>
  </w:p>
  <w:p w14:paraId="04A36D04" w14:textId="77777777" w:rsidR="00000501" w:rsidRPr="003524C3" w:rsidRDefault="00000501" w:rsidP="00000501">
    <w:pPr>
      <w:widowControl w:val="0"/>
      <w:tabs>
        <w:tab w:val="left" w:pos="0"/>
        <w:tab w:val="right" w:pos="8640"/>
      </w:tabs>
      <w:suppressAutoHyphens/>
      <w:jc w:val="center"/>
      <w:rPr>
        <w:rFonts w:ascii="Times New Roman" w:hAnsi="Times New Roman"/>
        <w:snapToGrid w:val="0"/>
        <w:color w:val="000080"/>
        <w:spacing w:val="0"/>
      </w:rPr>
    </w:pPr>
    <w:r w:rsidRPr="003524C3">
      <w:rPr>
        <w:rFonts w:ascii="Times New Roman" w:hAnsi="Times New Roman"/>
        <w:snapToGrid w:val="0"/>
        <w:color w:val="000080"/>
        <w:spacing w:val="0"/>
        <w:sz w:val="16"/>
      </w:rPr>
      <w:t>Equal Opportunity Employer</w:t>
    </w:r>
  </w:p>
  <w:p w14:paraId="607918C0" w14:textId="77777777" w:rsidR="00000501" w:rsidRDefault="0000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6B49" w14:textId="77777777" w:rsidR="006A6AC4" w:rsidRDefault="006A6AC4" w:rsidP="003841AC">
      <w:r>
        <w:separator/>
      </w:r>
    </w:p>
  </w:footnote>
  <w:footnote w:type="continuationSeparator" w:id="0">
    <w:p w14:paraId="2B7518ED" w14:textId="77777777" w:rsidR="006A6AC4" w:rsidRDefault="006A6AC4" w:rsidP="003841AC">
      <w:r>
        <w:continuationSeparator/>
      </w:r>
    </w:p>
  </w:footnote>
  <w:footnote w:type="continuationNotice" w:id="1">
    <w:p w14:paraId="20FF4378" w14:textId="77777777" w:rsidR="006A6AC4" w:rsidRDefault="006A6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2" w:type="dxa"/>
      <w:tblInd w:w="-360" w:type="dxa"/>
      <w:tblLayout w:type="fixed"/>
      <w:tblLook w:val="0000" w:firstRow="0" w:lastRow="0" w:firstColumn="0" w:lastColumn="0" w:noHBand="0" w:noVBand="0"/>
    </w:tblPr>
    <w:tblGrid>
      <w:gridCol w:w="2610"/>
      <w:gridCol w:w="5580"/>
      <w:gridCol w:w="2952"/>
    </w:tblGrid>
    <w:tr w:rsidR="00000501" w:rsidRPr="002A36F8" w14:paraId="4D31162D" w14:textId="77777777" w:rsidTr="00B14471">
      <w:trPr>
        <w:trHeight w:val="1800"/>
      </w:trPr>
      <w:tc>
        <w:tcPr>
          <w:tcW w:w="2610" w:type="dxa"/>
        </w:tcPr>
        <w:p w14:paraId="05168D5D" w14:textId="77777777" w:rsidR="00000501" w:rsidRPr="002A36F8" w:rsidRDefault="00000501" w:rsidP="00000501">
          <w:pPr>
            <w:widowControl w:val="0"/>
            <w:tabs>
              <w:tab w:val="left" w:pos="-720"/>
            </w:tabs>
            <w:suppressAutoHyphens/>
            <w:ind w:left="952"/>
            <w:jc w:val="center"/>
            <w:rPr>
              <w:rFonts w:ascii="Times New Roman" w:hAnsi="Times New Roman"/>
              <w:snapToGrid w:val="0"/>
              <w:spacing w:val="-2"/>
            </w:rPr>
          </w:pPr>
          <w:r w:rsidRPr="002A36F8">
            <w:rPr>
              <w:rFonts w:ascii="Times New Roman" w:hAnsi="Times New Roman"/>
              <w:snapToGrid w:val="0"/>
              <w:spacing w:val="-2"/>
            </w:rPr>
            <w:fldChar w:fldCharType="begin"/>
          </w:r>
          <w:r w:rsidRPr="002A36F8">
            <w:rPr>
              <w:rFonts w:ascii="Times New Roman" w:hAnsi="Times New Roman"/>
              <w:snapToGrid w:val="0"/>
              <w:spacing w:val="-2"/>
            </w:rPr>
            <w:instrText xml:space="preserve">PRIVATE </w:instrText>
          </w:r>
          <w:r w:rsidRPr="002A36F8">
            <w:rPr>
              <w:rFonts w:ascii="Times New Roman" w:hAnsi="Times New Roman"/>
              <w:snapToGrid w:val="0"/>
              <w:spacing w:val="-2"/>
            </w:rPr>
            <w:fldChar w:fldCharType="end"/>
          </w:r>
        </w:p>
        <w:p w14:paraId="4D39E361" w14:textId="77777777" w:rsidR="00000501" w:rsidRPr="002A36F8" w:rsidRDefault="00000501" w:rsidP="00000501">
          <w:pPr>
            <w:widowControl w:val="0"/>
            <w:tabs>
              <w:tab w:val="left" w:pos="-720"/>
              <w:tab w:val="left" w:pos="210"/>
              <w:tab w:val="center" w:pos="1197"/>
            </w:tabs>
            <w:suppressAutoHyphens/>
            <w:rPr>
              <w:rFonts w:ascii="Times New Roman" w:hAnsi="Times New Roman"/>
              <w:b/>
              <w:snapToGrid w:val="0"/>
              <w:spacing w:val="-3"/>
              <w:sz w:val="28"/>
            </w:rPr>
          </w:pPr>
          <w:bookmarkStart w:id="1" w:name="_MON_1228199390"/>
          <w:bookmarkStart w:id="2" w:name="_MON_1043824794"/>
          <w:bookmarkStart w:id="3" w:name="_MON_1043824828"/>
          <w:bookmarkStart w:id="4" w:name="_MON_1043824872"/>
          <w:bookmarkStart w:id="5" w:name="_MON_1043824896"/>
          <w:bookmarkEnd w:id="1"/>
          <w:bookmarkEnd w:id="2"/>
          <w:bookmarkEnd w:id="3"/>
          <w:bookmarkEnd w:id="4"/>
          <w:bookmarkEnd w:id="5"/>
          <w:r w:rsidRPr="002A36F8">
            <w:rPr>
              <w:rFonts w:ascii="Times New Roman" w:hAnsi="Times New Roman"/>
              <w:snapToGrid w:val="0"/>
              <w:spacing w:val="-2"/>
            </w:rPr>
            <w:tab/>
          </w:r>
          <w:r w:rsidRPr="002A36F8">
            <w:rPr>
              <w:rFonts w:ascii="Times New Roman" w:hAnsi="Times New Roman"/>
              <w:snapToGrid w:val="0"/>
              <w:spacing w:val="-2"/>
            </w:rPr>
            <w:tab/>
          </w:r>
          <w:bookmarkStart w:id="6" w:name="_MON_1043824906"/>
          <w:bookmarkEnd w:id="6"/>
          <w:r w:rsidRPr="002A36F8">
            <w:rPr>
              <w:rFonts w:ascii="Times New Roman" w:hAnsi="Times New Roman"/>
              <w:snapToGrid w:val="0"/>
              <w:spacing w:val="-2"/>
            </w:rPr>
            <w:object w:dxaOrig="1320" w:dyaOrig="1275" w14:anchorId="47939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75pt" fillcolor="window">
                <v:imagedata r:id="rId1" o:title=""/>
              </v:shape>
              <o:OLEObject Type="Embed" ProgID="Word.Picture.8" ShapeID="_x0000_i1025" DrawAspect="Content" ObjectID="_1694583414" r:id="rId2">
                <o:FieldCodes>\s \* MERGEFORMAT</o:FieldCodes>
              </o:OLEObject>
            </w:object>
          </w:r>
          <w:r w:rsidRPr="002A36F8">
            <w:rPr>
              <w:rFonts w:ascii="Times New Roman" w:hAnsi="Times New Roman"/>
              <w:b/>
              <w:snapToGrid w:val="0"/>
              <w:spacing w:val="-3"/>
              <w:sz w:val="28"/>
            </w:rPr>
            <w:t xml:space="preserve"> </w:t>
          </w:r>
        </w:p>
      </w:tc>
      <w:tc>
        <w:tcPr>
          <w:tcW w:w="5580" w:type="dxa"/>
        </w:tcPr>
        <w:p w14:paraId="40D4DBBA" w14:textId="77777777" w:rsidR="00000501" w:rsidRPr="002A36F8" w:rsidRDefault="00000501" w:rsidP="00000501">
          <w:pPr>
            <w:widowControl w:val="0"/>
            <w:tabs>
              <w:tab w:val="left" w:pos="0"/>
              <w:tab w:val="center" w:pos="4320"/>
              <w:tab w:val="right" w:pos="8640"/>
            </w:tabs>
            <w:suppressAutoHyphens/>
            <w:jc w:val="center"/>
            <w:rPr>
              <w:rFonts w:ascii="Times New Roman" w:hAnsi="Times New Roman"/>
              <w:b/>
              <w:snapToGrid w:val="0"/>
              <w:spacing w:val="-4"/>
              <w:sz w:val="32"/>
            </w:rPr>
          </w:pPr>
        </w:p>
        <w:p w14:paraId="40FE4018" w14:textId="77777777" w:rsidR="00000501" w:rsidRPr="002A36F8" w:rsidRDefault="00000501" w:rsidP="00000501">
          <w:pPr>
            <w:widowControl w:val="0"/>
            <w:tabs>
              <w:tab w:val="left" w:pos="0"/>
              <w:tab w:val="center" w:pos="4320"/>
              <w:tab w:val="right" w:pos="8640"/>
            </w:tabs>
            <w:suppressAutoHyphens/>
            <w:rPr>
              <w:rFonts w:ascii="Times New Roman" w:hAnsi="Times New Roman"/>
              <w:snapToGrid w:val="0"/>
              <w:color w:val="000080"/>
              <w:spacing w:val="-4"/>
              <w:sz w:val="32"/>
            </w:rPr>
          </w:pPr>
          <w:smartTag w:uri="urn:schemas-microsoft-com:office:smarttags" w:element="State">
            <w:smartTag w:uri="urn:schemas-microsoft-com:office:smarttags" w:element="place">
              <w:r w:rsidRPr="002A36F8">
                <w:rPr>
                  <w:rFonts w:ascii="Times New Roman" w:hAnsi="Times New Roman"/>
                  <w:b/>
                  <w:snapToGrid w:val="0"/>
                  <w:color w:val="000080"/>
                  <w:spacing w:val="-4"/>
                  <w:sz w:val="32"/>
                </w:rPr>
                <w:t>IDAHO</w:t>
              </w:r>
            </w:smartTag>
          </w:smartTag>
          <w:r w:rsidRPr="002A36F8">
            <w:rPr>
              <w:rFonts w:ascii="Times New Roman" w:hAnsi="Times New Roman"/>
              <w:b/>
              <w:snapToGrid w:val="0"/>
              <w:color w:val="000080"/>
              <w:spacing w:val="-4"/>
              <w:sz w:val="32"/>
            </w:rPr>
            <w:t xml:space="preserve"> INDUSTRIAL COMMISSION</w:t>
          </w:r>
        </w:p>
        <w:p w14:paraId="74EDA42B" w14:textId="77777777" w:rsidR="00000501" w:rsidRPr="002A36F8" w:rsidRDefault="00000501" w:rsidP="00000501">
          <w:pPr>
            <w:widowControl w:val="0"/>
            <w:tabs>
              <w:tab w:val="left" w:pos="0"/>
              <w:tab w:val="center" w:pos="4320"/>
              <w:tab w:val="right" w:pos="8640"/>
            </w:tabs>
            <w:suppressAutoHyphens/>
            <w:jc w:val="center"/>
            <w:rPr>
              <w:rFonts w:ascii="Times New Roman" w:hAnsi="Times New Roman"/>
              <w:snapToGrid w:val="0"/>
              <w:color w:val="000080"/>
              <w:spacing w:val="-2"/>
            </w:rPr>
          </w:pPr>
          <w:smartTag w:uri="urn:schemas-microsoft-com:office:smarttags" w:element="address">
            <w:smartTag w:uri="urn:schemas-microsoft-com:office:smarttags" w:element="Street">
              <w:r w:rsidRPr="002A36F8">
                <w:rPr>
                  <w:rFonts w:ascii="Times New Roman" w:hAnsi="Times New Roman"/>
                  <w:snapToGrid w:val="0"/>
                  <w:color w:val="000080"/>
                  <w:spacing w:val="-2"/>
                </w:rPr>
                <w:t>PO Box</w:t>
              </w:r>
            </w:smartTag>
            <w:r w:rsidRPr="002A36F8">
              <w:rPr>
                <w:rFonts w:ascii="Times New Roman" w:hAnsi="Times New Roman"/>
                <w:snapToGrid w:val="0"/>
                <w:color w:val="000080"/>
                <w:spacing w:val="-2"/>
              </w:rPr>
              <w:t xml:space="preserve"> 83720</w:t>
            </w:r>
          </w:smartTag>
        </w:p>
        <w:p w14:paraId="5BC00273" w14:textId="77777777" w:rsidR="00000501" w:rsidRPr="002A36F8" w:rsidRDefault="00000501" w:rsidP="00000501">
          <w:pPr>
            <w:widowControl w:val="0"/>
            <w:tabs>
              <w:tab w:val="left" w:pos="0"/>
              <w:tab w:val="center" w:pos="4320"/>
              <w:tab w:val="right" w:pos="8640"/>
            </w:tabs>
            <w:suppressAutoHyphens/>
            <w:jc w:val="center"/>
            <w:rPr>
              <w:rFonts w:ascii="Times New Roman" w:hAnsi="Times New Roman"/>
              <w:snapToGrid w:val="0"/>
              <w:color w:val="000080"/>
              <w:spacing w:val="-2"/>
            </w:rPr>
          </w:pPr>
          <w:smartTag w:uri="urn:schemas-microsoft-com:office:smarttags" w:element="place">
            <w:smartTag w:uri="urn:schemas-microsoft-com:office:smarttags" w:element="City">
              <w:r w:rsidRPr="002A36F8">
                <w:rPr>
                  <w:rFonts w:ascii="Times New Roman" w:hAnsi="Times New Roman"/>
                  <w:snapToGrid w:val="0"/>
                  <w:color w:val="000080"/>
                  <w:spacing w:val="-2"/>
                </w:rPr>
                <w:t>Boise</w:t>
              </w:r>
            </w:smartTag>
            <w:r w:rsidRPr="002A36F8">
              <w:rPr>
                <w:rFonts w:ascii="Times New Roman" w:hAnsi="Times New Roman"/>
                <w:snapToGrid w:val="0"/>
                <w:color w:val="000080"/>
                <w:spacing w:val="-2"/>
              </w:rPr>
              <w:t xml:space="preserve">, </w:t>
            </w:r>
            <w:smartTag w:uri="urn:schemas-microsoft-com:office:smarttags" w:element="State">
              <w:r w:rsidRPr="002A36F8">
                <w:rPr>
                  <w:rFonts w:ascii="Times New Roman" w:hAnsi="Times New Roman"/>
                  <w:snapToGrid w:val="0"/>
                  <w:color w:val="000080"/>
                  <w:spacing w:val="-2"/>
                </w:rPr>
                <w:t>ID</w:t>
              </w:r>
            </w:smartTag>
            <w:r w:rsidRPr="002A36F8">
              <w:rPr>
                <w:rFonts w:ascii="Times New Roman" w:hAnsi="Times New Roman"/>
                <w:snapToGrid w:val="0"/>
                <w:color w:val="000080"/>
                <w:spacing w:val="-2"/>
              </w:rPr>
              <w:t xml:space="preserve"> </w:t>
            </w:r>
            <w:smartTag w:uri="urn:schemas-microsoft-com:office:smarttags" w:element="PostalCode">
              <w:r w:rsidRPr="002A36F8">
                <w:rPr>
                  <w:rFonts w:ascii="Times New Roman" w:hAnsi="Times New Roman"/>
                  <w:snapToGrid w:val="0"/>
                  <w:color w:val="000080"/>
                  <w:spacing w:val="-2"/>
                </w:rPr>
                <w:t>83720-0041</w:t>
              </w:r>
            </w:smartTag>
          </w:smartTag>
        </w:p>
        <w:p w14:paraId="702AE74B" w14:textId="77777777" w:rsidR="00000501" w:rsidRPr="002A36F8" w:rsidRDefault="00000501" w:rsidP="00000501">
          <w:pPr>
            <w:widowControl w:val="0"/>
            <w:tabs>
              <w:tab w:val="left" w:pos="0"/>
              <w:tab w:val="center" w:pos="4320"/>
              <w:tab w:val="right" w:pos="8640"/>
            </w:tabs>
            <w:suppressAutoHyphens/>
            <w:jc w:val="center"/>
            <w:rPr>
              <w:rFonts w:ascii="Times New Roman" w:hAnsi="Times New Roman"/>
              <w:snapToGrid w:val="0"/>
              <w:color w:val="000080"/>
              <w:spacing w:val="-2"/>
            </w:rPr>
          </w:pPr>
          <w:r w:rsidRPr="002A36F8">
            <w:rPr>
              <w:rFonts w:ascii="Times New Roman" w:hAnsi="Times New Roman"/>
              <w:snapToGrid w:val="0"/>
              <w:color w:val="000080"/>
              <w:spacing w:val="-2"/>
            </w:rPr>
            <w:t>(208) 334-6000 - FAX (208) 334-2321</w:t>
          </w:r>
        </w:p>
        <w:p w14:paraId="38F80934" w14:textId="77777777" w:rsidR="00000501" w:rsidRPr="002A36F8" w:rsidRDefault="00000501" w:rsidP="00000501">
          <w:pPr>
            <w:widowControl w:val="0"/>
            <w:tabs>
              <w:tab w:val="left" w:pos="0"/>
              <w:tab w:val="center" w:pos="4320"/>
              <w:tab w:val="right" w:pos="8640"/>
            </w:tabs>
            <w:suppressAutoHyphens/>
            <w:jc w:val="center"/>
            <w:rPr>
              <w:rFonts w:ascii="Times New Roman" w:hAnsi="Times New Roman"/>
              <w:snapToGrid w:val="0"/>
              <w:color w:val="000080"/>
              <w:spacing w:val="-3"/>
            </w:rPr>
          </w:pPr>
          <w:r w:rsidRPr="002A36F8">
            <w:rPr>
              <w:rFonts w:ascii="Times New Roman" w:hAnsi="Times New Roman"/>
              <w:snapToGrid w:val="0"/>
              <w:color w:val="000080"/>
              <w:spacing w:val="-3"/>
            </w:rPr>
            <w:t>1-800-950-2110</w:t>
          </w:r>
        </w:p>
      </w:tc>
      <w:tc>
        <w:tcPr>
          <w:tcW w:w="2952" w:type="dxa"/>
        </w:tcPr>
        <w:p w14:paraId="1E85EB88" w14:textId="77777777" w:rsidR="00000501" w:rsidRPr="002A36F8" w:rsidRDefault="00000501" w:rsidP="00000501">
          <w:pPr>
            <w:widowControl w:val="0"/>
            <w:tabs>
              <w:tab w:val="left" w:pos="0"/>
              <w:tab w:val="center" w:pos="4320"/>
              <w:tab w:val="right" w:pos="8640"/>
            </w:tabs>
            <w:suppressAutoHyphens/>
            <w:ind w:right="72"/>
            <w:jc w:val="right"/>
            <w:rPr>
              <w:rFonts w:ascii="Times New Roman" w:hAnsi="Times New Roman"/>
              <w:snapToGrid w:val="0"/>
              <w:spacing w:val="0"/>
              <w:sz w:val="16"/>
            </w:rPr>
          </w:pPr>
        </w:p>
        <w:p w14:paraId="12A97981" w14:textId="77777777" w:rsidR="00000501" w:rsidRPr="002A36F8" w:rsidRDefault="00000501" w:rsidP="00000501">
          <w:pPr>
            <w:widowControl w:val="0"/>
            <w:tabs>
              <w:tab w:val="left" w:pos="0"/>
              <w:tab w:val="center" w:pos="4320"/>
              <w:tab w:val="right" w:pos="8640"/>
            </w:tabs>
            <w:suppressAutoHyphens/>
            <w:ind w:right="72"/>
            <w:jc w:val="right"/>
            <w:rPr>
              <w:rFonts w:ascii="Times New Roman" w:hAnsi="Times New Roman"/>
              <w:snapToGrid w:val="0"/>
              <w:spacing w:val="0"/>
              <w:sz w:val="16"/>
            </w:rPr>
          </w:pPr>
        </w:p>
        <w:p w14:paraId="0AA70D14" w14:textId="77777777" w:rsidR="00000501" w:rsidRPr="002A36F8" w:rsidRDefault="00000501" w:rsidP="00000501">
          <w:pPr>
            <w:widowControl w:val="0"/>
            <w:tabs>
              <w:tab w:val="left" w:pos="0"/>
              <w:tab w:val="center" w:pos="4320"/>
              <w:tab w:val="right" w:pos="8640"/>
            </w:tabs>
            <w:suppressAutoHyphens/>
            <w:ind w:right="72"/>
            <w:rPr>
              <w:rFonts w:ascii="Times New Roman" w:hAnsi="Times New Roman"/>
              <w:snapToGrid w:val="0"/>
              <w:color w:val="000080"/>
              <w:spacing w:val="0"/>
              <w:sz w:val="16"/>
            </w:rPr>
          </w:pPr>
        </w:p>
        <w:p w14:paraId="45AD691E" w14:textId="77777777" w:rsidR="00000501" w:rsidRPr="002A36F8" w:rsidRDefault="00000501" w:rsidP="00000501">
          <w:pPr>
            <w:widowControl w:val="0"/>
            <w:tabs>
              <w:tab w:val="left" w:pos="0"/>
              <w:tab w:val="center" w:pos="4320"/>
              <w:tab w:val="right" w:pos="8640"/>
            </w:tabs>
            <w:suppressAutoHyphens/>
            <w:ind w:right="72"/>
            <w:rPr>
              <w:rFonts w:ascii="Times New Roman" w:hAnsi="Times New Roman"/>
              <w:snapToGrid w:val="0"/>
              <w:color w:val="000080"/>
              <w:spacing w:val="0"/>
              <w:sz w:val="16"/>
            </w:rPr>
          </w:pPr>
        </w:p>
        <w:p w14:paraId="28A68E39" w14:textId="77777777" w:rsidR="00000501" w:rsidRPr="002A36F8" w:rsidRDefault="00000501" w:rsidP="00000501">
          <w:pPr>
            <w:widowControl w:val="0"/>
            <w:tabs>
              <w:tab w:val="left" w:pos="0"/>
              <w:tab w:val="center" w:pos="4320"/>
              <w:tab w:val="right" w:pos="8640"/>
            </w:tabs>
            <w:suppressAutoHyphens/>
            <w:ind w:right="72"/>
            <w:rPr>
              <w:rFonts w:ascii="Times New Roman" w:hAnsi="Times New Roman"/>
              <w:snapToGrid w:val="0"/>
              <w:color w:val="000080"/>
              <w:spacing w:val="0"/>
              <w:sz w:val="16"/>
            </w:rPr>
          </w:pPr>
          <w:r w:rsidRPr="002A36F8">
            <w:rPr>
              <w:rFonts w:ascii="Times New Roman" w:hAnsi="Times New Roman"/>
              <w:snapToGrid w:val="0"/>
              <w:color w:val="000080"/>
              <w:spacing w:val="0"/>
              <w:sz w:val="16"/>
            </w:rPr>
            <w:t>COMMISSIONERS</w:t>
          </w:r>
        </w:p>
        <w:p w14:paraId="18AAF0E2" w14:textId="77777777" w:rsidR="00000501" w:rsidRPr="002A36F8" w:rsidRDefault="00000501" w:rsidP="00000501">
          <w:pPr>
            <w:widowControl w:val="0"/>
            <w:tabs>
              <w:tab w:val="left" w:pos="0"/>
              <w:tab w:val="left" w:pos="252"/>
            </w:tabs>
            <w:suppressAutoHyphens/>
            <w:ind w:left="-7056" w:firstLine="6948"/>
            <w:rPr>
              <w:rFonts w:ascii="Times New Roman" w:hAnsi="Times New Roman"/>
              <w:snapToGrid w:val="0"/>
              <w:color w:val="000080"/>
              <w:spacing w:val="0"/>
              <w:sz w:val="14"/>
            </w:rPr>
          </w:pPr>
          <w:r w:rsidRPr="002A36F8">
            <w:rPr>
              <w:rFonts w:ascii="Times New Roman" w:hAnsi="Times New Roman"/>
              <w:snapToGrid w:val="0"/>
              <w:color w:val="000080"/>
              <w:spacing w:val="0"/>
              <w:sz w:val="14"/>
            </w:rPr>
            <w:tab/>
          </w:r>
          <w:r>
            <w:rPr>
              <w:rFonts w:ascii="Times New Roman" w:hAnsi="Times New Roman"/>
              <w:snapToGrid w:val="0"/>
              <w:color w:val="000080"/>
              <w:spacing w:val="0"/>
              <w:sz w:val="14"/>
            </w:rPr>
            <w:t>Aaron White</w:t>
          </w:r>
          <w:r w:rsidRPr="002A36F8">
            <w:rPr>
              <w:rFonts w:ascii="Times New Roman" w:hAnsi="Times New Roman"/>
              <w:snapToGrid w:val="0"/>
              <w:color w:val="000080"/>
              <w:spacing w:val="0"/>
              <w:sz w:val="14"/>
            </w:rPr>
            <w:t>, Chairman</w:t>
          </w:r>
        </w:p>
        <w:p w14:paraId="70E7CF36" w14:textId="77777777" w:rsidR="00000501" w:rsidRPr="002A36F8" w:rsidRDefault="00000501" w:rsidP="00000501">
          <w:pPr>
            <w:widowControl w:val="0"/>
            <w:tabs>
              <w:tab w:val="left" w:pos="0"/>
              <w:tab w:val="center" w:pos="4320"/>
              <w:tab w:val="right" w:pos="8640"/>
            </w:tabs>
            <w:suppressAutoHyphens/>
            <w:ind w:right="72"/>
            <w:rPr>
              <w:rFonts w:ascii="Times New Roman" w:hAnsi="Times New Roman"/>
              <w:snapToGrid w:val="0"/>
              <w:color w:val="000080"/>
              <w:spacing w:val="0"/>
              <w:sz w:val="14"/>
            </w:rPr>
          </w:pPr>
          <w:r>
            <w:rPr>
              <w:rFonts w:ascii="Times New Roman" w:hAnsi="Times New Roman"/>
              <w:snapToGrid w:val="0"/>
              <w:color w:val="000080"/>
              <w:spacing w:val="0"/>
              <w:sz w:val="14"/>
            </w:rPr>
            <w:t>Thomas E. Limbaugh</w:t>
          </w:r>
        </w:p>
        <w:p w14:paraId="080544E7" w14:textId="77777777" w:rsidR="00000501" w:rsidRPr="002A36F8" w:rsidRDefault="00000501" w:rsidP="00000501">
          <w:pPr>
            <w:widowControl w:val="0"/>
            <w:tabs>
              <w:tab w:val="left" w:pos="0"/>
              <w:tab w:val="left" w:pos="252"/>
            </w:tabs>
            <w:suppressAutoHyphens/>
            <w:ind w:left="-7056" w:firstLine="6948"/>
            <w:rPr>
              <w:rFonts w:ascii="Times New Roman" w:hAnsi="Times New Roman"/>
              <w:snapToGrid w:val="0"/>
              <w:spacing w:val="0"/>
              <w:sz w:val="16"/>
            </w:rPr>
          </w:pPr>
          <w:r w:rsidRPr="002A36F8">
            <w:rPr>
              <w:rFonts w:ascii="Times New Roman" w:hAnsi="Times New Roman"/>
              <w:snapToGrid w:val="0"/>
              <w:color w:val="000080"/>
              <w:spacing w:val="0"/>
              <w:sz w:val="14"/>
            </w:rPr>
            <w:tab/>
            <w:t xml:space="preserve">Thomas </w:t>
          </w:r>
          <w:r>
            <w:rPr>
              <w:rFonts w:ascii="Times New Roman" w:hAnsi="Times New Roman"/>
              <w:snapToGrid w:val="0"/>
              <w:color w:val="000080"/>
              <w:spacing w:val="0"/>
              <w:sz w:val="14"/>
            </w:rPr>
            <w:t>P. Baskin</w:t>
          </w:r>
        </w:p>
      </w:tc>
    </w:tr>
    <w:tr w:rsidR="00000501" w:rsidRPr="002A36F8" w14:paraId="0264ABAF" w14:textId="77777777" w:rsidTr="00B14471">
      <w:trPr>
        <w:trHeight w:val="80"/>
      </w:trPr>
      <w:tc>
        <w:tcPr>
          <w:tcW w:w="2610" w:type="dxa"/>
        </w:tcPr>
        <w:p w14:paraId="6F2CA864" w14:textId="77777777" w:rsidR="00000501" w:rsidRPr="002A36F8" w:rsidRDefault="00000501" w:rsidP="00000501">
          <w:pPr>
            <w:widowControl w:val="0"/>
            <w:tabs>
              <w:tab w:val="left" w:pos="0"/>
              <w:tab w:val="center" w:pos="4320"/>
              <w:tab w:val="right" w:pos="8640"/>
            </w:tabs>
            <w:suppressAutoHyphens/>
            <w:ind w:right="72"/>
            <w:jc w:val="center"/>
            <w:rPr>
              <w:rFonts w:ascii="Times New Roman" w:hAnsi="Times New Roman"/>
              <w:snapToGrid w:val="0"/>
              <w:spacing w:val="0"/>
            </w:rPr>
          </w:pPr>
          <w:r w:rsidRPr="002A36F8">
            <w:rPr>
              <w:rFonts w:ascii="Times New Roman" w:hAnsi="Times New Roman"/>
              <w:snapToGrid w:val="0"/>
              <w:color w:val="000080"/>
              <w:spacing w:val="0"/>
              <w:sz w:val="14"/>
            </w:rPr>
            <w:t>BRAD LITTLE, GOVERNOR</w:t>
          </w:r>
        </w:p>
      </w:tc>
      <w:tc>
        <w:tcPr>
          <w:tcW w:w="5580" w:type="dxa"/>
        </w:tcPr>
        <w:p w14:paraId="1F4501AF" w14:textId="77777777" w:rsidR="00000501" w:rsidRPr="002A36F8" w:rsidRDefault="00000501" w:rsidP="00000501">
          <w:pPr>
            <w:widowControl w:val="0"/>
            <w:tabs>
              <w:tab w:val="left" w:pos="0"/>
              <w:tab w:val="center" w:pos="4320"/>
              <w:tab w:val="right" w:pos="8640"/>
            </w:tabs>
            <w:suppressAutoHyphens/>
            <w:ind w:right="72"/>
            <w:jc w:val="center"/>
            <w:rPr>
              <w:rFonts w:ascii="Times New Roman" w:hAnsi="Times New Roman"/>
              <w:snapToGrid w:val="0"/>
              <w:spacing w:val="0"/>
              <w:sz w:val="32"/>
            </w:rPr>
          </w:pPr>
        </w:p>
      </w:tc>
      <w:tc>
        <w:tcPr>
          <w:tcW w:w="2952" w:type="dxa"/>
        </w:tcPr>
        <w:p w14:paraId="355E6C12" w14:textId="77777777" w:rsidR="00000501" w:rsidRPr="002A36F8" w:rsidRDefault="00000501" w:rsidP="00000501">
          <w:pPr>
            <w:widowControl w:val="0"/>
            <w:tabs>
              <w:tab w:val="left" w:pos="0"/>
              <w:tab w:val="center" w:pos="4320"/>
              <w:tab w:val="right" w:pos="8640"/>
            </w:tabs>
            <w:suppressAutoHyphens/>
            <w:ind w:right="72"/>
            <w:rPr>
              <w:rFonts w:ascii="Times New Roman" w:hAnsi="Times New Roman"/>
              <w:snapToGrid w:val="0"/>
              <w:spacing w:val="0"/>
              <w:sz w:val="16"/>
            </w:rPr>
          </w:pPr>
          <w:r w:rsidRPr="002A36F8">
            <w:rPr>
              <w:rFonts w:ascii="Times New Roman" w:hAnsi="Times New Roman"/>
              <w:snapToGrid w:val="0"/>
              <w:color w:val="000080"/>
              <w:spacing w:val="0"/>
              <w:sz w:val="14"/>
            </w:rPr>
            <w:t xml:space="preserve">Mindy Montgomery, Director </w:t>
          </w:r>
        </w:p>
      </w:tc>
    </w:tr>
  </w:tbl>
  <w:p w14:paraId="1B9456A6" w14:textId="77777777" w:rsidR="00000501" w:rsidRDefault="00000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A25A4"/>
    <w:multiLevelType w:val="hybridMultilevel"/>
    <w:tmpl w:val="DF34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E16D5"/>
    <w:multiLevelType w:val="hybridMultilevel"/>
    <w:tmpl w:val="E8603E4C"/>
    <w:lvl w:ilvl="0" w:tplc="1FD0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AC"/>
    <w:rsid w:val="00000501"/>
    <w:rsid w:val="00003B12"/>
    <w:rsid w:val="000079C4"/>
    <w:rsid w:val="0001316C"/>
    <w:rsid w:val="00022C18"/>
    <w:rsid w:val="0003794D"/>
    <w:rsid w:val="00041CA9"/>
    <w:rsid w:val="00051391"/>
    <w:rsid w:val="0007435C"/>
    <w:rsid w:val="00091F32"/>
    <w:rsid w:val="000A53C0"/>
    <w:rsid w:val="000C58A8"/>
    <w:rsid w:val="000D6951"/>
    <w:rsid w:val="001469C8"/>
    <w:rsid w:val="00151D02"/>
    <w:rsid w:val="00155446"/>
    <w:rsid w:val="00157B9D"/>
    <w:rsid w:val="00161574"/>
    <w:rsid w:val="001679B1"/>
    <w:rsid w:val="001802E7"/>
    <w:rsid w:val="00195AAC"/>
    <w:rsid w:val="001F39C3"/>
    <w:rsid w:val="00202477"/>
    <w:rsid w:val="002240A4"/>
    <w:rsid w:val="00235E88"/>
    <w:rsid w:val="00241C0F"/>
    <w:rsid w:val="00246A09"/>
    <w:rsid w:val="00260666"/>
    <w:rsid w:val="00263E90"/>
    <w:rsid w:val="00274973"/>
    <w:rsid w:val="00287D84"/>
    <w:rsid w:val="00292BF3"/>
    <w:rsid w:val="00293B8F"/>
    <w:rsid w:val="002976E4"/>
    <w:rsid w:val="002A061B"/>
    <w:rsid w:val="002A36F8"/>
    <w:rsid w:val="002A419C"/>
    <w:rsid w:val="002F12AE"/>
    <w:rsid w:val="002F267A"/>
    <w:rsid w:val="00300B28"/>
    <w:rsid w:val="00320068"/>
    <w:rsid w:val="0033111A"/>
    <w:rsid w:val="0033196B"/>
    <w:rsid w:val="00350568"/>
    <w:rsid w:val="003524C3"/>
    <w:rsid w:val="00352CF2"/>
    <w:rsid w:val="003546DB"/>
    <w:rsid w:val="003638C8"/>
    <w:rsid w:val="00376363"/>
    <w:rsid w:val="0038282E"/>
    <w:rsid w:val="003841AC"/>
    <w:rsid w:val="003947E7"/>
    <w:rsid w:val="003C309E"/>
    <w:rsid w:val="003C4F44"/>
    <w:rsid w:val="003C6079"/>
    <w:rsid w:val="003D7BB2"/>
    <w:rsid w:val="003F7B8E"/>
    <w:rsid w:val="00425E5E"/>
    <w:rsid w:val="00441C1C"/>
    <w:rsid w:val="00477AE2"/>
    <w:rsid w:val="0048023E"/>
    <w:rsid w:val="00497C95"/>
    <w:rsid w:val="004A4F15"/>
    <w:rsid w:val="004F4492"/>
    <w:rsid w:val="00502711"/>
    <w:rsid w:val="00504B75"/>
    <w:rsid w:val="00521CBB"/>
    <w:rsid w:val="0052530D"/>
    <w:rsid w:val="00532E06"/>
    <w:rsid w:val="00533CCD"/>
    <w:rsid w:val="0055505A"/>
    <w:rsid w:val="005B0D7A"/>
    <w:rsid w:val="005B38C6"/>
    <w:rsid w:val="00625C1C"/>
    <w:rsid w:val="006421C4"/>
    <w:rsid w:val="00664A3D"/>
    <w:rsid w:val="0066610E"/>
    <w:rsid w:val="006A10C8"/>
    <w:rsid w:val="006A6AC4"/>
    <w:rsid w:val="006D15B1"/>
    <w:rsid w:val="006D4E39"/>
    <w:rsid w:val="00716097"/>
    <w:rsid w:val="0072337C"/>
    <w:rsid w:val="007239B2"/>
    <w:rsid w:val="00736293"/>
    <w:rsid w:val="007500F4"/>
    <w:rsid w:val="00757E11"/>
    <w:rsid w:val="0076685F"/>
    <w:rsid w:val="007809A0"/>
    <w:rsid w:val="00796805"/>
    <w:rsid w:val="00796A59"/>
    <w:rsid w:val="007A12FE"/>
    <w:rsid w:val="007E55D4"/>
    <w:rsid w:val="007F3DEF"/>
    <w:rsid w:val="008000C0"/>
    <w:rsid w:val="00845F00"/>
    <w:rsid w:val="00850204"/>
    <w:rsid w:val="00867030"/>
    <w:rsid w:val="00881BAA"/>
    <w:rsid w:val="00896CF8"/>
    <w:rsid w:val="008B40DA"/>
    <w:rsid w:val="008C296A"/>
    <w:rsid w:val="008D2BDB"/>
    <w:rsid w:val="008D70AE"/>
    <w:rsid w:val="008E4742"/>
    <w:rsid w:val="008F2BAC"/>
    <w:rsid w:val="00904470"/>
    <w:rsid w:val="00907206"/>
    <w:rsid w:val="00913E88"/>
    <w:rsid w:val="009307D5"/>
    <w:rsid w:val="009618BC"/>
    <w:rsid w:val="009778BE"/>
    <w:rsid w:val="00983E64"/>
    <w:rsid w:val="00A0284E"/>
    <w:rsid w:val="00A26962"/>
    <w:rsid w:val="00A27AA2"/>
    <w:rsid w:val="00A33753"/>
    <w:rsid w:val="00A47847"/>
    <w:rsid w:val="00A501E7"/>
    <w:rsid w:val="00A80A60"/>
    <w:rsid w:val="00A8535E"/>
    <w:rsid w:val="00A8595F"/>
    <w:rsid w:val="00A9291F"/>
    <w:rsid w:val="00AC20BA"/>
    <w:rsid w:val="00AD74DF"/>
    <w:rsid w:val="00B14471"/>
    <w:rsid w:val="00B304D7"/>
    <w:rsid w:val="00B32373"/>
    <w:rsid w:val="00B34591"/>
    <w:rsid w:val="00BB6640"/>
    <w:rsid w:val="00BE1674"/>
    <w:rsid w:val="00BE431F"/>
    <w:rsid w:val="00BF17FF"/>
    <w:rsid w:val="00C04D16"/>
    <w:rsid w:val="00C43769"/>
    <w:rsid w:val="00C70665"/>
    <w:rsid w:val="00C87E07"/>
    <w:rsid w:val="00CC5B48"/>
    <w:rsid w:val="00CC7B86"/>
    <w:rsid w:val="00CE0BF8"/>
    <w:rsid w:val="00D4033D"/>
    <w:rsid w:val="00D40520"/>
    <w:rsid w:val="00D610EA"/>
    <w:rsid w:val="00D756D3"/>
    <w:rsid w:val="00D76E97"/>
    <w:rsid w:val="00D77756"/>
    <w:rsid w:val="00DA6DF5"/>
    <w:rsid w:val="00DC0A41"/>
    <w:rsid w:val="00DF751B"/>
    <w:rsid w:val="00E13695"/>
    <w:rsid w:val="00E577A6"/>
    <w:rsid w:val="00E856E8"/>
    <w:rsid w:val="00E905F3"/>
    <w:rsid w:val="00E9210A"/>
    <w:rsid w:val="00EA5308"/>
    <w:rsid w:val="00EB1C2B"/>
    <w:rsid w:val="00EB70D5"/>
    <w:rsid w:val="00ED3934"/>
    <w:rsid w:val="00ED4B06"/>
    <w:rsid w:val="00EE4599"/>
    <w:rsid w:val="00EF2DA9"/>
    <w:rsid w:val="00F1742B"/>
    <w:rsid w:val="00F21473"/>
    <w:rsid w:val="00F37375"/>
    <w:rsid w:val="00F44E67"/>
    <w:rsid w:val="00F52417"/>
    <w:rsid w:val="00F536A5"/>
    <w:rsid w:val="00F57E89"/>
    <w:rsid w:val="00F63C44"/>
    <w:rsid w:val="00F80A76"/>
    <w:rsid w:val="00F87922"/>
    <w:rsid w:val="00FA2EB4"/>
    <w:rsid w:val="00FB0387"/>
    <w:rsid w:val="00FB3E1F"/>
    <w:rsid w:val="00FC0EA6"/>
    <w:rsid w:val="00FC2335"/>
    <w:rsid w:val="00FF0517"/>
    <w:rsid w:val="02AD0C16"/>
    <w:rsid w:val="03B3CB14"/>
    <w:rsid w:val="047AD485"/>
    <w:rsid w:val="0554B267"/>
    <w:rsid w:val="0A4F0121"/>
    <w:rsid w:val="0C253768"/>
    <w:rsid w:val="0D25D21E"/>
    <w:rsid w:val="0D9360E2"/>
    <w:rsid w:val="0F6DF23E"/>
    <w:rsid w:val="114DDBD4"/>
    <w:rsid w:val="1481225B"/>
    <w:rsid w:val="180834EA"/>
    <w:rsid w:val="1899193F"/>
    <w:rsid w:val="1963BDAA"/>
    <w:rsid w:val="19C68255"/>
    <w:rsid w:val="1A8C17F5"/>
    <w:rsid w:val="1BAFC368"/>
    <w:rsid w:val="1C1B9AEE"/>
    <w:rsid w:val="1CEABEA2"/>
    <w:rsid w:val="1F697974"/>
    <w:rsid w:val="20F8484B"/>
    <w:rsid w:val="212075A7"/>
    <w:rsid w:val="21A535C6"/>
    <w:rsid w:val="22779DF1"/>
    <w:rsid w:val="22D28F94"/>
    <w:rsid w:val="22F50C72"/>
    <w:rsid w:val="24EA7A59"/>
    <w:rsid w:val="24EAD169"/>
    <w:rsid w:val="257BF369"/>
    <w:rsid w:val="26861AA3"/>
    <w:rsid w:val="28AD4281"/>
    <w:rsid w:val="28E172F0"/>
    <w:rsid w:val="2B83884E"/>
    <w:rsid w:val="2C09803F"/>
    <w:rsid w:val="2E375371"/>
    <w:rsid w:val="2EF52299"/>
    <w:rsid w:val="2F37711F"/>
    <w:rsid w:val="2F8FE310"/>
    <w:rsid w:val="30F2B42D"/>
    <w:rsid w:val="31208D0B"/>
    <w:rsid w:val="336BEA84"/>
    <w:rsid w:val="33AB9FA7"/>
    <w:rsid w:val="343B33F8"/>
    <w:rsid w:val="361880C9"/>
    <w:rsid w:val="36898AEA"/>
    <w:rsid w:val="3733E5E5"/>
    <w:rsid w:val="382A6509"/>
    <w:rsid w:val="387A040E"/>
    <w:rsid w:val="3B985079"/>
    <w:rsid w:val="3C92CDE5"/>
    <w:rsid w:val="3D3A08D0"/>
    <w:rsid w:val="3F1CA1E2"/>
    <w:rsid w:val="40722047"/>
    <w:rsid w:val="415C0193"/>
    <w:rsid w:val="422BE01C"/>
    <w:rsid w:val="429FC238"/>
    <w:rsid w:val="43D07C86"/>
    <w:rsid w:val="43E15E49"/>
    <w:rsid w:val="445F57FA"/>
    <w:rsid w:val="454F50B4"/>
    <w:rsid w:val="4583CF9F"/>
    <w:rsid w:val="45AD3694"/>
    <w:rsid w:val="462A7C47"/>
    <w:rsid w:val="469E202C"/>
    <w:rsid w:val="482563F6"/>
    <w:rsid w:val="4DEDF8D2"/>
    <w:rsid w:val="504EE45F"/>
    <w:rsid w:val="521ED2F2"/>
    <w:rsid w:val="5388BA9A"/>
    <w:rsid w:val="53AC4DDB"/>
    <w:rsid w:val="5571078B"/>
    <w:rsid w:val="56133AC1"/>
    <w:rsid w:val="5B42A612"/>
    <w:rsid w:val="5BD4F1E8"/>
    <w:rsid w:val="5C3FC50A"/>
    <w:rsid w:val="5C96E9C4"/>
    <w:rsid w:val="5ED9DFC7"/>
    <w:rsid w:val="5EE2A28F"/>
    <w:rsid w:val="5F827E1B"/>
    <w:rsid w:val="5FADFF85"/>
    <w:rsid w:val="602284CD"/>
    <w:rsid w:val="61036CA0"/>
    <w:rsid w:val="612DA036"/>
    <w:rsid w:val="63B63616"/>
    <w:rsid w:val="641C646F"/>
    <w:rsid w:val="65688285"/>
    <w:rsid w:val="6640CA22"/>
    <w:rsid w:val="6767C707"/>
    <w:rsid w:val="68105093"/>
    <w:rsid w:val="68326DC1"/>
    <w:rsid w:val="692C8401"/>
    <w:rsid w:val="6A876EFE"/>
    <w:rsid w:val="6BDBD6E3"/>
    <w:rsid w:val="6CA2D174"/>
    <w:rsid w:val="6F445DDC"/>
    <w:rsid w:val="743F92CD"/>
    <w:rsid w:val="7519720B"/>
    <w:rsid w:val="7851BA58"/>
    <w:rsid w:val="7A4416E8"/>
    <w:rsid w:val="7A9FA7E3"/>
    <w:rsid w:val="7CD25A66"/>
    <w:rsid w:val="7D96246C"/>
    <w:rsid w:val="7E3A8662"/>
    <w:rsid w:val="7F25DB7D"/>
    <w:rsid w:val="7F75FC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5F5FE11"/>
  <w15:docId w15:val="{74572EA9-998A-4588-9A93-8F72A03D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line="2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99"/>
    <w:pPr>
      <w:spacing w:line="240" w:lineRule="auto"/>
      <w:jc w:val="left"/>
    </w:pPr>
    <w:rPr>
      <w:rFonts w:eastAsia="Times New Roman" w:cs="Times New Roman"/>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1AC"/>
    <w:pPr>
      <w:tabs>
        <w:tab w:val="center" w:pos="4680"/>
        <w:tab w:val="right" w:pos="9360"/>
      </w:tabs>
    </w:pPr>
  </w:style>
  <w:style w:type="character" w:customStyle="1" w:styleId="HeaderChar">
    <w:name w:val="Header Char"/>
    <w:basedOn w:val="DefaultParagraphFont"/>
    <w:link w:val="Header"/>
    <w:uiPriority w:val="99"/>
    <w:rsid w:val="003841AC"/>
    <w:rPr>
      <w:rFonts w:ascii="Times New Roman" w:hAnsi="Times New Roman"/>
      <w:sz w:val="24"/>
    </w:rPr>
  </w:style>
  <w:style w:type="paragraph" w:styleId="Footer">
    <w:name w:val="footer"/>
    <w:basedOn w:val="Normal"/>
    <w:link w:val="FooterChar"/>
    <w:uiPriority w:val="99"/>
    <w:unhideWhenUsed/>
    <w:rsid w:val="003841AC"/>
    <w:pPr>
      <w:tabs>
        <w:tab w:val="center" w:pos="4680"/>
        <w:tab w:val="right" w:pos="9360"/>
      </w:tabs>
    </w:pPr>
  </w:style>
  <w:style w:type="character" w:customStyle="1" w:styleId="FooterChar">
    <w:name w:val="Footer Char"/>
    <w:basedOn w:val="DefaultParagraphFont"/>
    <w:link w:val="Footer"/>
    <w:uiPriority w:val="99"/>
    <w:rsid w:val="003841AC"/>
    <w:rPr>
      <w:rFonts w:ascii="Times New Roman" w:hAnsi="Times New Roman"/>
      <w:sz w:val="24"/>
    </w:rPr>
  </w:style>
  <w:style w:type="paragraph" w:styleId="BalloonText">
    <w:name w:val="Balloon Text"/>
    <w:basedOn w:val="Normal"/>
    <w:link w:val="BalloonTextChar"/>
    <w:uiPriority w:val="99"/>
    <w:semiHidden/>
    <w:unhideWhenUsed/>
    <w:rsid w:val="003841AC"/>
    <w:rPr>
      <w:rFonts w:ascii="Tahoma" w:hAnsi="Tahoma" w:cs="Tahoma"/>
      <w:sz w:val="16"/>
      <w:szCs w:val="16"/>
    </w:rPr>
  </w:style>
  <w:style w:type="character" w:customStyle="1" w:styleId="BalloonTextChar">
    <w:name w:val="Balloon Text Char"/>
    <w:basedOn w:val="DefaultParagraphFont"/>
    <w:link w:val="BalloonText"/>
    <w:uiPriority w:val="99"/>
    <w:semiHidden/>
    <w:rsid w:val="003841AC"/>
    <w:rPr>
      <w:rFonts w:ascii="Tahoma" w:hAnsi="Tahoma" w:cs="Tahoma"/>
      <w:sz w:val="16"/>
      <w:szCs w:val="16"/>
    </w:rPr>
  </w:style>
  <w:style w:type="paragraph" w:styleId="BodyText">
    <w:name w:val="Body Text"/>
    <w:basedOn w:val="Normal"/>
    <w:link w:val="BodyTextChar"/>
    <w:semiHidden/>
    <w:rsid w:val="00EE4599"/>
    <w:pPr>
      <w:spacing w:after="220" w:line="180" w:lineRule="atLeast"/>
      <w:jc w:val="both"/>
    </w:pPr>
  </w:style>
  <w:style w:type="character" w:customStyle="1" w:styleId="BodyTextChar">
    <w:name w:val="Body Text Char"/>
    <w:basedOn w:val="DefaultParagraphFont"/>
    <w:link w:val="BodyText"/>
    <w:semiHidden/>
    <w:rsid w:val="00EE4599"/>
    <w:rPr>
      <w:rFonts w:eastAsia="Times New Roman" w:cs="Times New Roman"/>
      <w:spacing w:val="-5"/>
    </w:rPr>
  </w:style>
  <w:style w:type="character" w:styleId="Hyperlink">
    <w:name w:val="Hyperlink"/>
    <w:basedOn w:val="DefaultParagraphFont"/>
    <w:uiPriority w:val="99"/>
    <w:unhideWhenUsed/>
    <w:rsid w:val="00CE0BF8"/>
    <w:rPr>
      <w:color w:val="0000FF" w:themeColor="hyperlink"/>
      <w:u w:val="single"/>
    </w:rPr>
  </w:style>
  <w:style w:type="character" w:styleId="UnresolvedMention">
    <w:name w:val="Unresolved Mention"/>
    <w:basedOn w:val="DefaultParagraphFont"/>
    <w:uiPriority w:val="99"/>
    <w:semiHidden/>
    <w:unhideWhenUsed/>
    <w:rsid w:val="00CE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ti.Vaughn@iic.idah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B3BE36E4EBF45A23B28A27C0EE285" ma:contentTypeVersion="11" ma:contentTypeDescription="Create a new document." ma:contentTypeScope="" ma:versionID="21085e3f6eaf436b69bb02c12715f1c4">
  <xsd:schema xmlns:xsd="http://www.w3.org/2001/XMLSchema" xmlns:xs="http://www.w3.org/2001/XMLSchema" xmlns:p="http://schemas.microsoft.com/office/2006/metadata/properties" xmlns:ns3="32a4e42c-90d0-4473-84ca-c917b6d11159" xmlns:ns4="4bfb9668-2724-4312-bbb3-30b10048aefb" targetNamespace="http://schemas.microsoft.com/office/2006/metadata/properties" ma:root="true" ma:fieldsID="e1c77b726fa687a081cc38c3c37960a8" ns3:_="" ns4:_="">
    <xsd:import namespace="32a4e42c-90d0-4473-84ca-c917b6d11159"/>
    <xsd:import namespace="4bfb9668-2724-4312-bbb3-30b10048ae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e42c-90d0-4473-84ca-c917b6d1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b9668-2724-4312-bbb3-30b10048ae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76DA2-76A9-49E6-BFA8-2CC5F3140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e42c-90d0-4473-84ca-c917b6d11159"/>
    <ds:schemaRef ds:uri="4bfb9668-2724-4312-bbb3-30b10048a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2217A-1707-4A27-ABDD-3654233DEF8D}">
  <ds:schemaRefs>
    <ds:schemaRef ds:uri="http://schemas.openxmlformats.org/officeDocument/2006/bibliography"/>
  </ds:schemaRefs>
</ds:datastoreItem>
</file>

<file path=customXml/itemProps3.xml><?xml version="1.0" encoding="utf-8"?>
<ds:datastoreItem xmlns:ds="http://schemas.openxmlformats.org/officeDocument/2006/customXml" ds:itemID="{0E331023-1C80-45B7-8633-8C85E2309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B56B4-BE83-43BA-9F60-6AE403215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Idaho Industrial Commission</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Robinson</dc:creator>
  <cp:keywords/>
  <cp:lastModifiedBy>Slay, Kamerron</cp:lastModifiedBy>
  <cp:revision>4</cp:revision>
  <dcterms:created xsi:type="dcterms:W3CDTF">2021-09-30T19:24:00Z</dcterms:created>
  <dcterms:modified xsi:type="dcterms:W3CDTF">2021-10-01T14:50:00Z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0x01010033AB3BE36E4EBF45A23B28A27C0EE285</vt:lpwstr>
  </property>
</Properties>
</file>